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FA0CB" w14:textId="40BD0A2F" w:rsidR="00DC0C92" w:rsidRDefault="00DC0C92" w:rsidP="00B64C7D">
      <w:pPr>
        <w:pStyle w:val="hscheading1"/>
      </w:pPr>
      <w:r w:rsidRPr="0090511D">
        <w:rPr>
          <w:i/>
        </w:rPr>
        <w:t>Hawaii Pelagic Longline Fishery</w:t>
      </w:r>
    </w:p>
    <w:p w14:paraId="37C24FFD" w14:textId="77777777" w:rsidR="00C4017F" w:rsidRDefault="00C82447" w:rsidP="0090511D">
      <w:pPr>
        <w:pStyle w:val="hscheading2"/>
      </w:pPr>
      <w:r w:rsidRPr="002F4F25">
        <w:t>Port</w:t>
      </w:r>
      <w:r>
        <w:t xml:space="preserve"> of </w:t>
      </w:r>
      <w:r w:rsidRPr="00B64C7D">
        <w:t>Honolulu</w:t>
      </w:r>
      <w:r>
        <w:t xml:space="preserve"> </w:t>
      </w:r>
      <w:r w:rsidRPr="00B64C7D">
        <w:t>Ranking</w:t>
      </w:r>
      <w:r>
        <w:t xml:space="preserve"> 2013</w:t>
      </w:r>
    </w:p>
    <w:p w14:paraId="348360B9" w14:textId="51AFABE1" w:rsidR="00C4017F" w:rsidRDefault="00C4017F" w:rsidP="002F4F25">
      <w:pPr>
        <w:pStyle w:val="hscbullets1"/>
      </w:pPr>
      <w:r>
        <w:t>3</w:t>
      </w:r>
      <w:r w:rsidR="00C82447">
        <w:t>2</w:t>
      </w:r>
      <w:r w:rsidR="008F771F">
        <w:t>nd</w:t>
      </w:r>
      <w:r>
        <w:t xml:space="preserve"> in US Por</w:t>
      </w:r>
      <w:r w:rsidR="00C82447">
        <w:t>ts in terms of landed volume (29</w:t>
      </w:r>
      <w:r>
        <w:t xml:space="preserve"> million lbs)</w:t>
      </w:r>
    </w:p>
    <w:p w14:paraId="2F225B72" w14:textId="77777777" w:rsidR="00C4017F" w:rsidRDefault="00C82447" w:rsidP="002F4F25">
      <w:pPr>
        <w:pStyle w:val="hscbullets1"/>
      </w:pPr>
      <w:r>
        <w:t>6</w:t>
      </w:r>
      <w:r w:rsidR="00C4017F" w:rsidRPr="008F771F">
        <w:t>th</w:t>
      </w:r>
      <w:r w:rsidR="00C4017F">
        <w:t xml:space="preserve"> in US Ports in terms of landed value ($100 million)</w:t>
      </w:r>
    </w:p>
    <w:p w14:paraId="541AEDC5" w14:textId="77777777" w:rsidR="00C82447" w:rsidRPr="00C82447" w:rsidRDefault="00C82447" w:rsidP="0090511D">
      <w:pPr>
        <w:pStyle w:val="hscheading2"/>
      </w:pPr>
      <w:r w:rsidRPr="00C82447">
        <w:t>Brief History of Hawaii Longline Fishery</w:t>
      </w:r>
    </w:p>
    <w:p w14:paraId="282071BD" w14:textId="6FE2DF1A" w:rsidR="00C82447" w:rsidRDefault="0007549D" w:rsidP="002F4F25">
      <w:pPr>
        <w:pStyle w:val="hsclistindented"/>
      </w:pPr>
      <w:r>
        <w:rPr>
          <w:b/>
        </w:rPr>
        <w:t>1917</w:t>
      </w:r>
      <w:r w:rsidR="002F4F25">
        <w:tab/>
      </w:r>
      <w:r w:rsidR="00C82447">
        <w:t>Hawaii Longline Fishery started by Japanese immigrant fishermen.</w:t>
      </w:r>
    </w:p>
    <w:p w14:paraId="7FB82AF6" w14:textId="0D326BCA" w:rsidR="0007549D" w:rsidRDefault="0007549D" w:rsidP="002F4F25">
      <w:pPr>
        <w:pStyle w:val="hsclistindented"/>
      </w:pPr>
      <w:r w:rsidRPr="0007549D">
        <w:rPr>
          <w:b/>
        </w:rPr>
        <w:t>1940s</w:t>
      </w:r>
      <w:r w:rsidR="002F4F25">
        <w:tab/>
      </w:r>
      <w:r>
        <w:t>After WW II, Hawaii Longline fleet rose to 42 vessels.</w:t>
      </w:r>
    </w:p>
    <w:p w14:paraId="57550E43" w14:textId="178A2FF8" w:rsidR="0007549D" w:rsidRDefault="0007549D" w:rsidP="002F4F25">
      <w:pPr>
        <w:pStyle w:val="hsclistindented"/>
      </w:pPr>
      <w:r w:rsidRPr="0007549D">
        <w:rPr>
          <w:b/>
        </w:rPr>
        <w:t>1970s</w:t>
      </w:r>
      <w:r w:rsidR="002F4F25">
        <w:tab/>
      </w:r>
      <w:r>
        <w:t>Hawaii Longline fleet declined to 14 vessels.</w:t>
      </w:r>
    </w:p>
    <w:p w14:paraId="7510F395" w14:textId="10B78D44" w:rsidR="00C4017F" w:rsidRDefault="00C4017F" w:rsidP="002F4F25">
      <w:pPr>
        <w:pStyle w:val="hsclistindented"/>
      </w:pPr>
      <w:r w:rsidRPr="00350BAD">
        <w:rPr>
          <w:b/>
        </w:rPr>
        <w:t>1988</w:t>
      </w:r>
      <w:r w:rsidR="002F4F25">
        <w:tab/>
      </w:r>
      <w:r>
        <w:t>Hawaii Longline Fishery had just 35 vessels.</w:t>
      </w:r>
    </w:p>
    <w:p w14:paraId="265D93C4" w14:textId="346AAD20" w:rsidR="00C4017F" w:rsidRDefault="00C4017F" w:rsidP="002F4F25">
      <w:pPr>
        <w:pStyle w:val="hsclistindented"/>
      </w:pPr>
      <w:r w:rsidRPr="00350BAD">
        <w:rPr>
          <w:b/>
        </w:rPr>
        <w:t>1991</w:t>
      </w:r>
      <w:r w:rsidR="002F4F25">
        <w:tab/>
      </w:r>
      <w:r>
        <w:t xml:space="preserve">Hawaii Longline Fishery capped at 164 permits </w:t>
      </w:r>
      <w:r w:rsidR="00F27199">
        <w:br/>
      </w:r>
      <w:r>
        <w:t>(average since is about 125 active vessels).</w:t>
      </w:r>
    </w:p>
    <w:p w14:paraId="11151EF4" w14:textId="77777777" w:rsidR="00511E06" w:rsidRDefault="00A62A13" w:rsidP="002F4F25">
      <w:pPr>
        <w:pStyle w:val="hsclistindented"/>
      </w:pPr>
      <w:r w:rsidRPr="00350BAD">
        <w:rPr>
          <w:b/>
        </w:rPr>
        <w:t>2014</w:t>
      </w:r>
      <w:r w:rsidR="002F4F25">
        <w:tab/>
      </w:r>
      <w:r w:rsidR="00C82447">
        <w:t>About 110</w:t>
      </w:r>
      <w:r w:rsidR="00C4017F">
        <w:t xml:space="preserve"> Hawaii Longline vessels fish year-round for Bigeye Tuna </w:t>
      </w:r>
      <w:r w:rsidR="00511E06">
        <w:br/>
      </w:r>
      <w:r w:rsidR="00C4017F">
        <w:t>using Deep-set longline gear.</w:t>
      </w:r>
      <w:r w:rsidR="002F4F25">
        <w:t xml:space="preserve"> </w:t>
      </w:r>
    </w:p>
    <w:p w14:paraId="6EFA8AC3" w14:textId="7251344E" w:rsidR="00C4017F" w:rsidRDefault="00C82447" w:rsidP="00511E06">
      <w:pPr>
        <w:pStyle w:val="hsclistindented"/>
        <w:ind w:firstLine="0"/>
      </w:pPr>
      <w:r>
        <w:t xml:space="preserve">About </w:t>
      </w:r>
      <w:r w:rsidR="00C4017F">
        <w:t>20 Hawaii Longline vessels fish for Swordfish using Shallow-set longline gear.</w:t>
      </w:r>
      <w:r w:rsidR="002F4F25">
        <w:t xml:space="preserve"> </w:t>
      </w:r>
      <w:r w:rsidR="00C4017F">
        <w:t>These switch over to deep-set longline bigeye tuna fishing after swordfish season</w:t>
      </w:r>
      <w:r w:rsidR="00823BE4">
        <w:t xml:space="preserve"> (January to June)</w:t>
      </w:r>
      <w:r w:rsidR="00C4017F">
        <w:t>.</w:t>
      </w:r>
    </w:p>
    <w:p w14:paraId="1CAA3C66" w14:textId="085E70FD" w:rsidR="00350BAD" w:rsidRPr="00350BAD" w:rsidRDefault="00F27199" w:rsidP="0090511D">
      <w:pPr>
        <w:pStyle w:val="hscheading2"/>
      </w:pPr>
      <w:r>
        <w:t>There are TWO</w:t>
      </w:r>
      <w:r w:rsidR="00350BAD" w:rsidRPr="00350BAD">
        <w:t xml:space="preserve"> types of longline fisheries in Hawaii</w:t>
      </w:r>
    </w:p>
    <w:p w14:paraId="12008914" w14:textId="77777777" w:rsidR="008F771F" w:rsidRDefault="008F771F" w:rsidP="00FC5096">
      <w:pPr>
        <w:pStyle w:val="hscheading3"/>
        <w:sectPr w:rsidR="008F771F" w:rsidSect="00BE7C8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728" w:right="2880" w:bottom="1152" w:left="1440" w:header="0" w:footer="720" w:gutter="0"/>
          <w:cols w:space="720"/>
          <w:docGrid w:linePitch="360"/>
        </w:sectPr>
      </w:pPr>
    </w:p>
    <w:p w14:paraId="433CC7EC" w14:textId="15164277" w:rsidR="009D39DD" w:rsidRPr="008F771F" w:rsidRDefault="00C82447" w:rsidP="00FC5096">
      <w:pPr>
        <w:pStyle w:val="hscheading3"/>
        <w:rPr>
          <w:b w:val="0"/>
        </w:rPr>
      </w:pPr>
      <w:r w:rsidRPr="008F771F">
        <w:rPr>
          <w:b w:val="0"/>
        </w:rPr>
        <w:lastRenderedPageBreak/>
        <w:t>Deep-set Tuna LL Gea</w:t>
      </w:r>
      <w:r w:rsidR="00C75320" w:rsidRPr="008F771F">
        <w:rPr>
          <w:b w:val="0"/>
        </w:rPr>
        <w:t>r</w:t>
      </w:r>
      <w:r w:rsidR="00E40979" w:rsidRPr="008F771F">
        <w:rPr>
          <w:b w:val="0"/>
        </w:rPr>
        <w:t>:</w:t>
      </w:r>
    </w:p>
    <w:p w14:paraId="49DBDBB6" w14:textId="27DDB039" w:rsidR="00C82447" w:rsidRDefault="00C75320" w:rsidP="009D39DD">
      <w:pPr>
        <w:pStyle w:val="hscparagraph1"/>
      </w:pPr>
      <w:r>
        <w:t xml:space="preserve">25-30 miles mainline, </w:t>
      </w:r>
      <w:r w:rsidR="008F771F">
        <w:br/>
      </w:r>
      <w:r>
        <w:t>2500-</w:t>
      </w:r>
      <w:r w:rsidR="00C82447">
        <w:t xml:space="preserve">3000 </w:t>
      </w:r>
      <w:r w:rsidR="00A62A13">
        <w:t xml:space="preserve">circle </w:t>
      </w:r>
      <w:r w:rsidR="00C82447">
        <w:t>hooks</w:t>
      </w:r>
      <w:r>
        <w:t xml:space="preserve"> (14</w:t>
      </w:r>
      <w:r w:rsidR="00664EA0">
        <w:t xml:space="preserve">/0-16/0), </w:t>
      </w:r>
      <w:r w:rsidR="008F771F">
        <w:br/>
      </w:r>
      <w:r w:rsidR="00664EA0">
        <w:t>saury and sardines</w:t>
      </w:r>
      <w:r w:rsidR="00770A05">
        <w:t xml:space="preserve"> bait</w:t>
      </w:r>
      <w:r w:rsidR="00664EA0">
        <w:t xml:space="preserve">, </w:t>
      </w:r>
      <w:r w:rsidR="008F771F">
        <w:br/>
      </w:r>
      <w:r>
        <w:t xml:space="preserve">light sticks </w:t>
      </w:r>
      <w:r w:rsidR="00664EA0">
        <w:t xml:space="preserve">not </w:t>
      </w:r>
      <w:r>
        <w:t xml:space="preserve">permitted, </w:t>
      </w:r>
      <w:r w:rsidR="008F771F">
        <w:br/>
      </w:r>
      <w:r w:rsidR="00F46DC0">
        <w:t xml:space="preserve">25 hooks between floats, </w:t>
      </w:r>
      <w:r w:rsidR="008F771F">
        <w:br/>
      </w:r>
      <w:r>
        <w:t>hook depth from 5</w:t>
      </w:r>
      <w:r w:rsidR="00C409A3">
        <w:t xml:space="preserve">0 to </w:t>
      </w:r>
      <w:r w:rsidR="00770A05">
        <w:t>350 m</w:t>
      </w:r>
      <w:r w:rsidR="00C82447">
        <w:t>.</w:t>
      </w:r>
    </w:p>
    <w:p w14:paraId="45F2B8E5" w14:textId="5BEABF62" w:rsidR="009D39DD" w:rsidRPr="008F771F" w:rsidRDefault="00C82447" w:rsidP="00FC5096">
      <w:pPr>
        <w:pStyle w:val="hscheading3"/>
        <w:rPr>
          <w:b w:val="0"/>
        </w:rPr>
      </w:pPr>
      <w:r w:rsidRPr="008F771F">
        <w:rPr>
          <w:b w:val="0"/>
        </w:rPr>
        <w:lastRenderedPageBreak/>
        <w:t>Shallow-set Swordfish LL Gear</w:t>
      </w:r>
      <w:r w:rsidR="00E40979" w:rsidRPr="008F771F">
        <w:rPr>
          <w:b w:val="0"/>
        </w:rPr>
        <w:t>:</w:t>
      </w:r>
    </w:p>
    <w:p w14:paraId="1288B9F9" w14:textId="6205BABE" w:rsidR="00C82447" w:rsidRDefault="00C75320" w:rsidP="009D39DD">
      <w:pPr>
        <w:pStyle w:val="hscparagraph1"/>
      </w:pPr>
      <w:r w:rsidRPr="00C75320">
        <w:t xml:space="preserve">45 miles mainline, </w:t>
      </w:r>
      <w:r w:rsidR="008F771F">
        <w:br/>
      </w:r>
      <w:r>
        <w:t>850-</w:t>
      </w:r>
      <w:r w:rsidRPr="00C75320">
        <w:t xml:space="preserve">880 </w:t>
      </w:r>
      <w:r w:rsidR="00A62A13" w:rsidRPr="00C75320">
        <w:t>circle</w:t>
      </w:r>
      <w:r w:rsidR="00C82447" w:rsidRPr="00C75320">
        <w:t xml:space="preserve"> hooks</w:t>
      </w:r>
      <w:r>
        <w:t xml:space="preserve"> (18/0 ≤10% offset), </w:t>
      </w:r>
      <w:r w:rsidR="008F771F">
        <w:br/>
      </w:r>
      <w:r>
        <w:t xml:space="preserve">mackerel bait, light sticks permitted, </w:t>
      </w:r>
      <w:r w:rsidR="008F771F">
        <w:br/>
      </w:r>
      <w:r w:rsidRPr="00C75320">
        <w:t>4 hooks between floats,</w:t>
      </w:r>
      <w:r w:rsidR="00C82447" w:rsidRPr="00C75320">
        <w:t xml:space="preserve"> hook depth </w:t>
      </w:r>
      <w:r w:rsidR="00C409A3">
        <w:t xml:space="preserve">from </w:t>
      </w:r>
      <w:r w:rsidRPr="00C75320">
        <w:t>25 to 75 m</w:t>
      </w:r>
      <w:r w:rsidR="00C82447" w:rsidRPr="00C75320">
        <w:t>.</w:t>
      </w:r>
      <w:r w:rsidR="00C82447">
        <w:t xml:space="preserve"> </w:t>
      </w:r>
    </w:p>
    <w:p w14:paraId="0426F6B3" w14:textId="77777777" w:rsidR="008F771F" w:rsidRDefault="008F771F" w:rsidP="00FC5096">
      <w:pPr>
        <w:pStyle w:val="hscheading3"/>
        <w:sectPr w:rsidR="008F771F" w:rsidSect="008F771F">
          <w:type w:val="continuous"/>
          <w:pgSz w:w="12240" w:h="15840"/>
          <w:pgMar w:top="1728" w:right="2880" w:bottom="1152" w:left="1440" w:header="0" w:footer="720" w:gutter="0"/>
          <w:cols w:num="2" w:space="720"/>
          <w:docGrid w:linePitch="360"/>
        </w:sectPr>
      </w:pPr>
    </w:p>
    <w:p w14:paraId="0824EEC8" w14:textId="77777777" w:rsidR="006A207B" w:rsidRDefault="006A207B" w:rsidP="008F771F">
      <w:pPr>
        <w:pStyle w:val="hscheading3"/>
        <w:rPr>
          <w:b w:val="0"/>
        </w:rPr>
      </w:pPr>
    </w:p>
    <w:p w14:paraId="22534BAB" w14:textId="65D2D25E" w:rsidR="00C4017F" w:rsidRPr="008F771F" w:rsidRDefault="00C82447" w:rsidP="008F771F">
      <w:pPr>
        <w:pStyle w:val="hscheading3"/>
        <w:rPr>
          <w:b w:val="0"/>
        </w:rPr>
      </w:pPr>
      <w:r w:rsidRPr="008F771F">
        <w:rPr>
          <w:b w:val="0"/>
        </w:rPr>
        <w:t>Where do Hawaii longliners catch</w:t>
      </w:r>
      <w:r w:rsidR="00770A05" w:rsidRPr="008F771F">
        <w:rPr>
          <w:b w:val="0"/>
        </w:rPr>
        <w:t xml:space="preserve"> their fish</w:t>
      </w:r>
      <w:r w:rsidR="00C4017F" w:rsidRPr="008F771F">
        <w:rPr>
          <w:b w:val="0"/>
        </w:rPr>
        <w:t>? (between 2007 to 2011)</w:t>
      </w:r>
    </w:p>
    <w:p w14:paraId="708A9A29" w14:textId="57EBD27A" w:rsidR="00C4017F" w:rsidRDefault="00F27199" w:rsidP="009D39DD">
      <w:pPr>
        <w:pStyle w:val="hscbullets1"/>
      </w:pPr>
      <w:r>
        <w:t>64%</w:t>
      </w:r>
      <w:r w:rsidR="00770A05">
        <w:t xml:space="preserve"> </w:t>
      </w:r>
      <w:r w:rsidR="00C4017F">
        <w:t xml:space="preserve">Outside </w:t>
      </w:r>
      <w:r w:rsidR="00770A05">
        <w:t xml:space="preserve">US Exclusive Economic Zone (EEZ </w:t>
      </w:r>
      <w:r w:rsidR="00C4017F">
        <w:t xml:space="preserve">&gt;200 miles from shore) </w:t>
      </w:r>
      <w:r>
        <w:br/>
      </w:r>
      <w:r w:rsidR="00A62A13">
        <w:t>in international waters.</w:t>
      </w:r>
    </w:p>
    <w:p w14:paraId="10491C32" w14:textId="0E7920CB" w:rsidR="00C4017F" w:rsidRDefault="00770A05" w:rsidP="009D39DD">
      <w:pPr>
        <w:pStyle w:val="hscbullets1"/>
      </w:pPr>
      <w:r>
        <w:t xml:space="preserve">36% </w:t>
      </w:r>
      <w:r w:rsidR="00C4017F">
        <w:t>Within EEZ (50 to 200 miles from shore)</w:t>
      </w:r>
      <w:r w:rsidR="00A62A13">
        <w:t xml:space="preserve"> in federally-managed waters.</w:t>
      </w:r>
    </w:p>
    <w:p w14:paraId="731EE051" w14:textId="77777777" w:rsidR="009D39DD" w:rsidRDefault="009D39DD">
      <w:pPr>
        <w:spacing w:after="0" w:line="240" w:lineRule="auto"/>
        <w:rPr>
          <w:rFonts w:ascii="Gill Sans MT" w:eastAsiaTheme="majorEastAsia" w:hAnsi="Gill Sans MT" w:cstheme="majorBidi"/>
          <w:caps/>
          <w:color w:val="008ABD"/>
          <w:spacing w:val="10"/>
          <w:sz w:val="28"/>
          <w:szCs w:val="28"/>
        </w:rPr>
      </w:pPr>
      <w:r>
        <w:br w:type="page"/>
      </w:r>
    </w:p>
    <w:p w14:paraId="5FCB6308" w14:textId="2A1B5931" w:rsidR="00C82447" w:rsidRPr="00A62A13" w:rsidRDefault="007F439E" w:rsidP="0090511D">
      <w:pPr>
        <w:pStyle w:val="hscheading2"/>
      </w:pPr>
      <w:r>
        <w:lastRenderedPageBreak/>
        <w:t xml:space="preserve">Track Record </w:t>
      </w:r>
      <w:r w:rsidR="00C82447" w:rsidRPr="00A62A13">
        <w:t xml:space="preserve">of Precautionary Measures </w:t>
      </w:r>
      <w:r w:rsidR="00E40979">
        <w:t>THAT</w:t>
      </w:r>
      <w:r w:rsidR="008138FC">
        <w:t xml:space="preserve"> have kept </w:t>
      </w:r>
      <w:r>
        <w:t>this fishery SUSTAINABLE</w:t>
      </w:r>
    </w:p>
    <w:p w14:paraId="18A324F1" w14:textId="29EFC5A8" w:rsidR="00C4017F" w:rsidRDefault="00C4017F" w:rsidP="009D39DD">
      <w:pPr>
        <w:pStyle w:val="hsclistindented"/>
      </w:pPr>
      <w:r>
        <w:rPr>
          <w:b/>
        </w:rPr>
        <w:t>1991</w:t>
      </w:r>
      <w:r w:rsidR="009D39DD">
        <w:rPr>
          <w:b/>
        </w:rPr>
        <w:tab/>
      </w:r>
      <w:r w:rsidR="009D39DD">
        <w:t>First</w:t>
      </w:r>
      <w:r w:rsidR="007F439E">
        <w:t xml:space="preserve"> </w:t>
      </w:r>
      <w:r>
        <w:t>US pelagic fishery with lim</w:t>
      </w:r>
      <w:r w:rsidR="00E40979">
        <w:t>ited entry.</w:t>
      </w:r>
      <w:r w:rsidR="008138FC">
        <w:t xml:space="preserve"> </w:t>
      </w:r>
      <w:r w:rsidR="007F439E">
        <w:t>Fishery is capped at 164 vessel permits.</w:t>
      </w:r>
    </w:p>
    <w:p w14:paraId="45CCEEC4" w14:textId="63947F72" w:rsidR="00C4017F" w:rsidRDefault="00C4017F" w:rsidP="009D39DD">
      <w:pPr>
        <w:pStyle w:val="hsclistindented"/>
      </w:pPr>
      <w:r>
        <w:rPr>
          <w:b/>
        </w:rPr>
        <w:t>1991</w:t>
      </w:r>
      <w:r w:rsidR="009D39DD">
        <w:rPr>
          <w:b/>
        </w:rPr>
        <w:tab/>
      </w:r>
      <w:r>
        <w:t xml:space="preserve">Mandatory Daily Logbooks </w:t>
      </w:r>
      <w:r w:rsidR="007F439E">
        <w:t xml:space="preserve">are </w:t>
      </w:r>
      <w:r>
        <w:t>required.</w:t>
      </w:r>
    </w:p>
    <w:p w14:paraId="61F0BE67" w14:textId="0F799B09" w:rsidR="00C4017F" w:rsidRDefault="00C4017F" w:rsidP="009D39DD">
      <w:pPr>
        <w:pStyle w:val="hsclistindented"/>
      </w:pPr>
      <w:r>
        <w:rPr>
          <w:b/>
        </w:rPr>
        <w:t>1992</w:t>
      </w:r>
      <w:r w:rsidR="009D39DD">
        <w:rPr>
          <w:b/>
        </w:rPr>
        <w:tab/>
      </w:r>
      <w:r>
        <w:t xml:space="preserve">Longline Exclusion Zone </w:t>
      </w:r>
      <w:r w:rsidR="007F439E">
        <w:t>out to 50</w:t>
      </w:r>
      <w:r w:rsidR="008336A2">
        <w:t xml:space="preserve"> miles offshore.</w:t>
      </w:r>
      <w:r w:rsidR="009D39DD">
        <w:br/>
      </w:r>
      <w:r>
        <w:t>Prevented gear conflict with smaller boats.</w:t>
      </w:r>
    </w:p>
    <w:p w14:paraId="6BC55027" w14:textId="458DEED1" w:rsidR="00C4017F" w:rsidRDefault="00C4017F" w:rsidP="009D39DD">
      <w:pPr>
        <w:pStyle w:val="hsclistindented"/>
      </w:pPr>
      <w:r>
        <w:rPr>
          <w:b/>
        </w:rPr>
        <w:t>1993</w:t>
      </w:r>
      <w:r w:rsidR="009D39DD">
        <w:rPr>
          <w:b/>
        </w:rPr>
        <w:tab/>
      </w:r>
      <w:r>
        <w:t>Federal observers placed on Hawaii longline vessels.</w:t>
      </w:r>
    </w:p>
    <w:p w14:paraId="0BA0E71A" w14:textId="1A6A3855" w:rsidR="00C4017F" w:rsidRDefault="00C4017F" w:rsidP="009D39DD">
      <w:pPr>
        <w:pStyle w:val="hsclistindented"/>
      </w:pPr>
      <w:r>
        <w:rPr>
          <w:b/>
        </w:rPr>
        <w:t>1994</w:t>
      </w:r>
      <w:r w:rsidR="009D39DD">
        <w:tab/>
        <w:t>First</w:t>
      </w:r>
      <w:r w:rsidR="007F439E">
        <w:t xml:space="preserve"> </w:t>
      </w:r>
      <w:r>
        <w:t xml:space="preserve">US Fishery to require </w:t>
      </w:r>
      <w:r w:rsidR="007F439E">
        <w:t xml:space="preserve">satellite tracking (24:7) </w:t>
      </w:r>
      <w:r w:rsidR="008138FC">
        <w:br/>
      </w:r>
      <w:r w:rsidR="007F439E">
        <w:t>using Vessel Monitoring S</w:t>
      </w:r>
      <w:r>
        <w:t>ystem</w:t>
      </w:r>
      <w:r w:rsidR="007F439E">
        <w:t xml:space="preserve"> (VMS</w:t>
      </w:r>
      <w:r>
        <w:t>).</w:t>
      </w:r>
    </w:p>
    <w:p w14:paraId="36CE7888" w14:textId="537C7109" w:rsidR="00C4017F" w:rsidRDefault="00C4017F" w:rsidP="009D39DD">
      <w:pPr>
        <w:pStyle w:val="hsclistindented"/>
      </w:pPr>
      <w:r>
        <w:rPr>
          <w:b/>
        </w:rPr>
        <w:t>2000</w:t>
      </w:r>
      <w:r w:rsidR="009D39DD">
        <w:rPr>
          <w:b/>
        </w:rPr>
        <w:tab/>
      </w:r>
      <w:r>
        <w:t xml:space="preserve">Shark finning </w:t>
      </w:r>
      <w:r w:rsidR="007F439E">
        <w:t xml:space="preserve">was </w:t>
      </w:r>
      <w:r>
        <w:t>prohibited.</w:t>
      </w:r>
    </w:p>
    <w:p w14:paraId="29F2DA11" w14:textId="71451824" w:rsidR="00C4017F" w:rsidRDefault="00C4017F" w:rsidP="009D39DD">
      <w:pPr>
        <w:pStyle w:val="hsclistindented"/>
      </w:pPr>
      <w:r>
        <w:rPr>
          <w:b/>
        </w:rPr>
        <w:t>2001</w:t>
      </w:r>
      <w:r w:rsidR="009D39DD">
        <w:rPr>
          <w:b/>
        </w:rPr>
        <w:tab/>
      </w:r>
      <w:r>
        <w:t xml:space="preserve">Federal observer coverage </w:t>
      </w:r>
      <w:r w:rsidR="007F439E">
        <w:t xml:space="preserve">minimum of 20% of </w:t>
      </w:r>
      <w:r>
        <w:t>deep-set tuna longline fishing</w:t>
      </w:r>
      <w:r w:rsidR="007F439E">
        <w:t xml:space="preserve"> trips required</w:t>
      </w:r>
      <w:r>
        <w:t>.</w:t>
      </w:r>
    </w:p>
    <w:p w14:paraId="64A47DCA" w14:textId="03BF5BDF" w:rsidR="00C4017F" w:rsidRDefault="00C4017F" w:rsidP="009D39DD">
      <w:pPr>
        <w:pStyle w:val="hsclistindented"/>
      </w:pPr>
      <w:r>
        <w:rPr>
          <w:b/>
        </w:rPr>
        <w:t>2004</w:t>
      </w:r>
      <w:r w:rsidR="009D39DD">
        <w:tab/>
      </w:r>
      <w:r>
        <w:t>Federal observer coverage</w:t>
      </w:r>
      <w:r w:rsidR="007F439E">
        <w:t xml:space="preserve"> of</w:t>
      </w:r>
      <w:r>
        <w:t xml:space="preserve"> 100% for shallow-set </w:t>
      </w:r>
      <w:r w:rsidR="007F439E">
        <w:t xml:space="preserve">swordfish </w:t>
      </w:r>
      <w:r>
        <w:t>longline fishing</w:t>
      </w:r>
      <w:r w:rsidR="007F439E">
        <w:t xml:space="preserve"> trips required</w:t>
      </w:r>
      <w:r>
        <w:t>.</w:t>
      </w:r>
    </w:p>
    <w:p w14:paraId="157A9064" w14:textId="1B7105B6" w:rsidR="007F439E" w:rsidRDefault="00511E06" w:rsidP="009D39DD">
      <w:pPr>
        <w:pStyle w:val="hsclistindented"/>
      </w:pPr>
      <w:r>
        <w:rPr>
          <w:b/>
        </w:rPr>
        <w:t xml:space="preserve"> </w:t>
      </w:r>
      <w:r w:rsidR="009D39DD">
        <w:tab/>
      </w:r>
      <w:r w:rsidR="007F439E">
        <w:t xml:space="preserve">Measures to </w:t>
      </w:r>
      <w:r w:rsidR="00810687">
        <w:t>mitigate Sea T</w:t>
      </w:r>
      <w:r w:rsidR="007F439E">
        <w:t>urtle interactions</w:t>
      </w:r>
      <w:r w:rsidR="008336A2">
        <w:t xml:space="preserve"> required. </w:t>
      </w:r>
      <w:r w:rsidR="00810687">
        <w:t>Circle hooks and mackerel bait re</w:t>
      </w:r>
      <w:r w:rsidR="008336A2">
        <w:t xml:space="preserve">placed J-hooks and squid bait. </w:t>
      </w:r>
      <w:r w:rsidR="00810687">
        <w:t>90% reduction in turtle catch rate</w:t>
      </w:r>
      <w:r w:rsidR="00823BE4">
        <w:t xml:space="preserve"> achieved</w:t>
      </w:r>
      <w:r w:rsidR="00810687">
        <w:t xml:space="preserve"> </w:t>
      </w:r>
      <w:r w:rsidR="00823BE4">
        <w:t>in the shallow-set swordfish fishery</w:t>
      </w:r>
      <w:r w:rsidR="00810687">
        <w:t>.</w:t>
      </w:r>
    </w:p>
    <w:p w14:paraId="1A021649" w14:textId="1170EC18" w:rsidR="00810687" w:rsidRDefault="00511E06" w:rsidP="009D39DD">
      <w:pPr>
        <w:pStyle w:val="hsclistindented"/>
      </w:pPr>
      <w:r>
        <w:rPr>
          <w:b/>
        </w:rPr>
        <w:t xml:space="preserve"> </w:t>
      </w:r>
      <w:r w:rsidR="009D39DD">
        <w:tab/>
      </w:r>
      <w:r w:rsidR="00810687">
        <w:t>Shallow-set swordfish fishery adopts hard cap on the annual number of Sea Turtle interactions allowed.  Enforcement in real time is made possible with 100% federal observer coverage.</w:t>
      </w:r>
    </w:p>
    <w:p w14:paraId="5D1DACB5" w14:textId="7FB171E2" w:rsidR="00810687" w:rsidRDefault="00511E06" w:rsidP="009D39DD">
      <w:pPr>
        <w:pStyle w:val="hsclistindented"/>
      </w:pPr>
      <w:r>
        <w:rPr>
          <w:b/>
        </w:rPr>
        <w:t xml:space="preserve"> </w:t>
      </w:r>
      <w:r w:rsidR="009D39DD">
        <w:rPr>
          <w:b/>
        </w:rPr>
        <w:tab/>
      </w:r>
      <w:r w:rsidR="00810687">
        <w:t>Measures to reduce Seabird interactions are required and achieve 90% reduction.</w:t>
      </w:r>
    </w:p>
    <w:p w14:paraId="567792D0" w14:textId="0216DDFC" w:rsidR="00C4017F" w:rsidRDefault="00511E06" w:rsidP="009D39DD">
      <w:pPr>
        <w:pStyle w:val="hsclistindented"/>
      </w:pPr>
      <w:r>
        <w:rPr>
          <w:b/>
        </w:rPr>
        <w:t xml:space="preserve"> </w:t>
      </w:r>
      <w:r w:rsidR="009D39DD">
        <w:tab/>
      </w:r>
      <w:r w:rsidR="00C4017F">
        <w:t>Pacific Bigeye</w:t>
      </w:r>
      <w:r w:rsidR="008336A2">
        <w:t xml:space="preserve"> tuna catch quota established. </w:t>
      </w:r>
      <w:r w:rsidR="00810687">
        <w:t>Hawaii has t</w:t>
      </w:r>
      <w:r w:rsidR="00C4017F">
        <w:t xml:space="preserve">he only longline fishery in Pacific capable of real time management </w:t>
      </w:r>
      <w:r w:rsidR="0007549D">
        <w:t xml:space="preserve">and compliance with bigeye </w:t>
      </w:r>
      <w:r w:rsidR="008336A2">
        <w:t xml:space="preserve">quota. </w:t>
      </w:r>
      <w:r w:rsidR="00C4017F">
        <w:t>Bigeye overfishing in Hawaii is eliminated.</w:t>
      </w:r>
    </w:p>
    <w:p w14:paraId="44482774" w14:textId="44A117F1" w:rsidR="00810687" w:rsidRPr="00810687" w:rsidRDefault="00810687" w:rsidP="009D39DD">
      <w:pPr>
        <w:pStyle w:val="hsclistindented"/>
        <w:rPr>
          <w:b/>
        </w:rPr>
      </w:pPr>
      <w:r w:rsidRPr="00810687">
        <w:rPr>
          <w:b/>
        </w:rPr>
        <w:t>1993</w:t>
      </w:r>
      <w:r w:rsidR="009D39DD">
        <w:rPr>
          <w:b/>
        </w:rPr>
        <w:t>–</w:t>
      </w:r>
      <w:r w:rsidRPr="00810687">
        <w:rPr>
          <w:b/>
        </w:rPr>
        <w:t>2015</w:t>
      </w:r>
      <w:r w:rsidR="009D39DD">
        <w:br/>
      </w:r>
      <w:r>
        <w:t xml:space="preserve">Overfishing </w:t>
      </w:r>
      <w:r w:rsidR="00A35389">
        <w:t>of Pacific Bigeye tuna begins in about 1993</w:t>
      </w:r>
      <w:r>
        <w:t xml:space="preserve"> in the Western and Central Pacific equatorial region by tuna purse seiners using drifting fish a</w:t>
      </w:r>
      <w:r w:rsidR="00527C65">
        <w:t xml:space="preserve">ggregating devices </w:t>
      </w:r>
      <w:r w:rsidR="00A065EA">
        <w:t xml:space="preserve">(drifting FADs) </w:t>
      </w:r>
      <w:r w:rsidR="00527C65">
        <w:t xml:space="preserve">that </w:t>
      </w:r>
      <w:r>
        <w:t>aggregate juvenile bigeye</w:t>
      </w:r>
      <w:r w:rsidR="00527C65">
        <w:t xml:space="preserve"> tuna</w:t>
      </w:r>
      <w:r w:rsidR="008336A2">
        <w:t xml:space="preserve">. </w:t>
      </w:r>
      <w:r>
        <w:t>Hawaii’</w:t>
      </w:r>
      <w:r w:rsidR="00A35389">
        <w:t xml:space="preserve">s </w:t>
      </w:r>
      <w:r>
        <w:t xml:space="preserve">fishery operates in a distinct region </w:t>
      </w:r>
      <w:r w:rsidR="00823BE4">
        <w:t xml:space="preserve">far </w:t>
      </w:r>
      <w:r w:rsidR="00A35389">
        <w:t xml:space="preserve">away from where </w:t>
      </w:r>
      <w:r>
        <w:t>overfishing i</w:t>
      </w:r>
      <w:r w:rsidRPr="00527C65">
        <w:t>s occurring.</w:t>
      </w:r>
    </w:p>
    <w:p w14:paraId="6A962C3A" w14:textId="77777777" w:rsidR="009D39DD" w:rsidRDefault="009D39DD">
      <w:pPr>
        <w:spacing w:after="0" w:line="240" w:lineRule="auto"/>
        <w:rPr>
          <w:rFonts w:ascii="Gill Sans MT" w:eastAsiaTheme="majorEastAsia" w:hAnsi="Gill Sans MT" w:cstheme="majorBidi"/>
          <w:caps/>
          <w:color w:val="008ABD"/>
          <w:spacing w:val="10"/>
          <w:sz w:val="28"/>
          <w:szCs w:val="28"/>
        </w:rPr>
      </w:pPr>
      <w:r>
        <w:br w:type="page"/>
      </w:r>
      <w:bookmarkStart w:id="0" w:name="_GoBack"/>
      <w:bookmarkEnd w:id="0"/>
    </w:p>
    <w:p w14:paraId="1F1E6A94" w14:textId="4C16EDEC" w:rsidR="00810687" w:rsidRPr="00810687" w:rsidRDefault="00810687" w:rsidP="0090511D">
      <w:pPr>
        <w:pStyle w:val="hscheading2"/>
      </w:pPr>
      <w:r w:rsidRPr="00810687">
        <w:lastRenderedPageBreak/>
        <w:t>Economic “</w:t>
      </w:r>
      <w:r w:rsidRPr="00B64C7D">
        <w:t>Snap</w:t>
      </w:r>
      <w:r w:rsidRPr="00810687">
        <w:t xml:space="preserve"> Shot</w:t>
      </w:r>
      <w:r w:rsidR="00511E06">
        <w:t xml:space="preserve">” of the economic importance of </w:t>
      </w:r>
      <w:r w:rsidRPr="00810687">
        <w:t>Hawaii Fisheries</w:t>
      </w:r>
      <w:r w:rsidR="0007549D">
        <w:t xml:space="preserve"> 2002 to 2012</w:t>
      </w:r>
    </w:p>
    <w:tbl>
      <w:tblPr>
        <w:tblStyle w:val="TableGrid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1620"/>
        <w:gridCol w:w="1530"/>
        <w:gridCol w:w="1620"/>
        <w:gridCol w:w="1620"/>
      </w:tblGrid>
      <w:tr w:rsidR="0007431D" w:rsidRPr="0007431D" w14:paraId="4CCBB6F6" w14:textId="77777777" w:rsidTr="00903E05">
        <w:tc>
          <w:tcPr>
            <w:tcW w:w="1440" w:type="dxa"/>
            <w:hideMark/>
          </w:tcPr>
          <w:p w14:paraId="6CEB76A5" w14:textId="77777777" w:rsidR="00AC1DDF" w:rsidRPr="0007431D" w:rsidRDefault="00AC1DDF" w:rsidP="0007431D">
            <w:pPr>
              <w:pStyle w:val="hsctableheading1"/>
            </w:pPr>
            <w:r w:rsidRPr="0007431D">
              <w:t>Fishery</w:t>
            </w:r>
          </w:p>
        </w:tc>
        <w:tc>
          <w:tcPr>
            <w:tcW w:w="1620" w:type="dxa"/>
            <w:hideMark/>
          </w:tcPr>
          <w:p w14:paraId="203391B4" w14:textId="77777777" w:rsidR="00AC1DDF" w:rsidRPr="0007431D" w:rsidRDefault="00AC1DDF" w:rsidP="0007431D">
            <w:pPr>
              <w:pStyle w:val="hsctableheading1"/>
            </w:pPr>
            <w:r w:rsidRPr="0007431D">
              <w:t>Hawaii Longline</w:t>
            </w:r>
          </w:p>
        </w:tc>
        <w:tc>
          <w:tcPr>
            <w:tcW w:w="1620" w:type="dxa"/>
            <w:hideMark/>
          </w:tcPr>
          <w:p w14:paraId="66A0A032" w14:textId="0F7B8AB9" w:rsidR="00AC1DDF" w:rsidRPr="0007431D" w:rsidRDefault="00AC1DDF" w:rsidP="0007431D">
            <w:pPr>
              <w:pStyle w:val="hsctableheading1"/>
            </w:pPr>
            <w:r w:rsidRPr="0007431D">
              <w:t xml:space="preserve">Hawaii </w:t>
            </w:r>
            <w:r w:rsidR="0007431D">
              <w:br/>
            </w:r>
            <w:r w:rsidRPr="0007431D">
              <w:t>Troll</w:t>
            </w:r>
          </w:p>
        </w:tc>
        <w:tc>
          <w:tcPr>
            <w:tcW w:w="1530" w:type="dxa"/>
            <w:hideMark/>
          </w:tcPr>
          <w:p w14:paraId="050E5E61" w14:textId="5202F508" w:rsidR="00AC1DDF" w:rsidRPr="0007431D" w:rsidRDefault="00AC1DDF" w:rsidP="0007431D">
            <w:pPr>
              <w:pStyle w:val="hsctableheading1"/>
            </w:pPr>
            <w:r w:rsidRPr="0007431D">
              <w:t xml:space="preserve">Hawaii Handline </w:t>
            </w:r>
            <w:r w:rsidRPr="0007431D">
              <w:rPr>
                <w:rStyle w:val="hscgray"/>
              </w:rPr>
              <w:t>(MHI)</w:t>
            </w:r>
          </w:p>
        </w:tc>
        <w:tc>
          <w:tcPr>
            <w:tcW w:w="1620" w:type="dxa"/>
            <w:hideMark/>
          </w:tcPr>
          <w:p w14:paraId="3321A97C" w14:textId="03759C89" w:rsidR="00AC1DDF" w:rsidRPr="0007431D" w:rsidRDefault="00AC1DDF" w:rsidP="0007431D">
            <w:pPr>
              <w:pStyle w:val="hsctableheading1"/>
            </w:pPr>
            <w:r w:rsidRPr="0007431D">
              <w:t xml:space="preserve">Hawaii Handline </w:t>
            </w:r>
            <w:r w:rsidRPr="0007431D">
              <w:rPr>
                <w:rStyle w:val="hscgray"/>
              </w:rPr>
              <w:t>(offshore)</w:t>
            </w:r>
          </w:p>
        </w:tc>
        <w:tc>
          <w:tcPr>
            <w:tcW w:w="1620" w:type="dxa"/>
          </w:tcPr>
          <w:p w14:paraId="7882CBA7" w14:textId="78BCF0FA" w:rsidR="00AC1DDF" w:rsidRPr="0007431D" w:rsidRDefault="00AC1DDF" w:rsidP="0007431D">
            <w:pPr>
              <w:pStyle w:val="hsctableheading1"/>
            </w:pPr>
            <w:r w:rsidRPr="0007431D">
              <w:t>Total</w:t>
            </w:r>
            <w:r w:rsidR="0007431D">
              <w:br/>
            </w:r>
            <w:r w:rsidR="0007431D" w:rsidRPr="0007431D">
              <w:rPr>
                <w:rStyle w:val="hscgray"/>
              </w:rPr>
              <w:t xml:space="preserve">(includes other </w:t>
            </w:r>
            <w:r w:rsidRPr="0007431D">
              <w:rPr>
                <w:rStyle w:val="hscgray"/>
              </w:rPr>
              <w:t>small fisheries)</w:t>
            </w:r>
          </w:p>
        </w:tc>
      </w:tr>
      <w:tr w:rsidR="0007431D" w:rsidRPr="0007431D" w14:paraId="597A465F" w14:textId="77777777" w:rsidTr="00903E05">
        <w:tc>
          <w:tcPr>
            <w:tcW w:w="1440" w:type="dxa"/>
            <w:hideMark/>
          </w:tcPr>
          <w:p w14:paraId="3E36C76B" w14:textId="77777777" w:rsidR="00AC1DDF" w:rsidRPr="0007431D" w:rsidRDefault="00AC1DDF" w:rsidP="0007431D">
            <w:pPr>
              <w:pStyle w:val="hsctableparagraph"/>
              <w:jc w:val="left"/>
            </w:pPr>
            <w:r w:rsidRPr="0007431D">
              <w:t>$ Revenue</w:t>
            </w:r>
          </w:p>
        </w:tc>
        <w:tc>
          <w:tcPr>
            <w:tcW w:w="1620" w:type="dxa"/>
            <w:hideMark/>
          </w:tcPr>
          <w:p w14:paraId="568D3BB8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$68,602,700</w:t>
            </w:r>
          </w:p>
        </w:tc>
        <w:tc>
          <w:tcPr>
            <w:tcW w:w="1620" w:type="dxa"/>
            <w:hideMark/>
          </w:tcPr>
          <w:p w14:paraId="0338F89C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$6,542,100</w:t>
            </w:r>
          </w:p>
        </w:tc>
        <w:tc>
          <w:tcPr>
            <w:tcW w:w="1530" w:type="dxa"/>
            <w:hideMark/>
          </w:tcPr>
          <w:p w14:paraId="3BA62854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$2,478,000</w:t>
            </w:r>
          </w:p>
        </w:tc>
        <w:tc>
          <w:tcPr>
            <w:tcW w:w="1620" w:type="dxa"/>
            <w:hideMark/>
          </w:tcPr>
          <w:p w14:paraId="7065E612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$957,700</w:t>
            </w:r>
          </w:p>
        </w:tc>
        <w:tc>
          <w:tcPr>
            <w:tcW w:w="1620" w:type="dxa"/>
          </w:tcPr>
          <w:p w14:paraId="1038434B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$80,080,400</w:t>
            </w:r>
          </w:p>
        </w:tc>
      </w:tr>
      <w:tr w:rsidR="0007431D" w:rsidRPr="0007431D" w14:paraId="237FFDF8" w14:textId="77777777" w:rsidTr="00903E05">
        <w:tc>
          <w:tcPr>
            <w:tcW w:w="1440" w:type="dxa"/>
            <w:hideMark/>
          </w:tcPr>
          <w:p w14:paraId="42EA9835" w14:textId="77777777" w:rsidR="00AC1DDF" w:rsidRPr="0007431D" w:rsidRDefault="00AC1DDF" w:rsidP="0007431D">
            <w:pPr>
              <w:pStyle w:val="hsctableparagraph"/>
              <w:jc w:val="left"/>
            </w:pPr>
            <w:r w:rsidRPr="0007431D">
              <w:t>% of Revenue</w:t>
            </w:r>
          </w:p>
        </w:tc>
        <w:tc>
          <w:tcPr>
            <w:tcW w:w="1620" w:type="dxa"/>
            <w:hideMark/>
          </w:tcPr>
          <w:p w14:paraId="3CDE0019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85.67%</w:t>
            </w:r>
          </w:p>
        </w:tc>
        <w:tc>
          <w:tcPr>
            <w:tcW w:w="1620" w:type="dxa"/>
            <w:hideMark/>
          </w:tcPr>
          <w:p w14:paraId="2BB68691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8.17%</w:t>
            </w:r>
          </w:p>
        </w:tc>
        <w:tc>
          <w:tcPr>
            <w:tcW w:w="1530" w:type="dxa"/>
            <w:hideMark/>
          </w:tcPr>
          <w:p w14:paraId="14552718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3.09%</w:t>
            </w:r>
          </w:p>
        </w:tc>
        <w:tc>
          <w:tcPr>
            <w:tcW w:w="1620" w:type="dxa"/>
            <w:hideMark/>
          </w:tcPr>
          <w:p w14:paraId="21C982F6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1.20%</w:t>
            </w:r>
          </w:p>
        </w:tc>
        <w:tc>
          <w:tcPr>
            <w:tcW w:w="1620" w:type="dxa"/>
          </w:tcPr>
          <w:p w14:paraId="4AB1D688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100%</w:t>
            </w:r>
          </w:p>
        </w:tc>
      </w:tr>
      <w:tr w:rsidR="0007431D" w:rsidRPr="0007431D" w14:paraId="2A6DA012" w14:textId="77777777" w:rsidTr="00903E05">
        <w:tc>
          <w:tcPr>
            <w:tcW w:w="1440" w:type="dxa"/>
            <w:hideMark/>
          </w:tcPr>
          <w:p w14:paraId="003ECF6A" w14:textId="77777777" w:rsidR="00AC1DDF" w:rsidRPr="0007431D" w:rsidRDefault="00AC1DDF" w:rsidP="0007431D">
            <w:pPr>
              <w:pStyle w:val="hsctableparagraph"/>
              <w:jc w:val="left"/>
            </w:pPr>
            <w:r w:rsidRPr="0007431D">
              <w:t>Weight in lbs</w:t>
            </w:r>
          </w:p>
        </w:tc>
        <w:tc>
          <w:tcPr>
            <w:tcW w:w="1620" w:type="dxa"/>
            <w:hideMark/>
          </w:tcPr>
          <w:p w14:paraId="04A7D174" w14:textId="72B83E06" w:rsidR="00AC1DDF" w:rsidRPr="0007431D" w:rsidRDefault="0007431D" w:rsidP="0007431D">
            <w:pPr>
              <w:pStyle w:val="hsctableparagraph"/>
              <w:jc w:val="right"/>
            </w:pPr>
            <w:r>
              <w:t>22,395,800</w:t>
            </w:r>
          </w:p>
        </w:tc>
        <w:tc>
          <w:tcPr>
            <w:tcW w:w="1620" w:type="dxa"/>
            <w:hideMark/>
          </w:tcPr>
          <w:p w14:paraId="351B0E9B" w14:textId="58A3E9F7" w:rsidR="00AC1DDF" w:rsidRPr="0007431D" w:rsidRDefault="00AC1DDF" w:rsidP="0007431D">
            <w:pPr>
              <w:pStyle w:val="hsctableparagraph"/>
              <w:jc w:val="right"/>
            </w:pPr>
            <w:r w:rsidRPr="0007431D">
              <w:t>2,899,900</w:t>
            </w:r>
          </w:p>
        </w:tc>
        <w:tc>
          <w:tcPr>
            <w:tcW w:w="1530" w:type="dxa"/>
            <w:hideMark/>
          </w:tcPr>
          <w:p w14:paraId="6A0C32C0" w14:textId="5A3459A0" w:rsidR="00AC1DDF" w:rsidRPr="0007431D" w:rsidRDefault="00AC1DDF" w:rsidP="0007431D">
            <w:pPr>
              <w:pStyle w:val="hsctableparagraph"/>
              <w:jc w:val="right"/>
            </w:pPr>
            <w:r w:rsidRPr="0007431D">
              <w:t>1,155,400</w:t>
            </w:r>
          </w:p>
        </w:tc>
        <w:tc>
          <w:tcPr>
            <w:tcW w:w="1620" w:type="dxa"/>
            <w:hideMark/>
          </w:tcPr>
          <w:p w14:paraId="7103CC9F" w14:textId="51E6988B" w:rsidR="00AC1DDF" w:rsidRPr="0007431D" w:rsidRDefault="00AC1DDF" w:rsidP="0007431D">
            <w:pPr>
              <w:pStyle w:val="hsctableparagraph"/>
              <w:jc w:val="right"/>
            </w:pPr>
            <w:r w:rsidRPr="0007431D">
              <w:t>533,100</w:t>
            </w:r>
          </w:p>
        </w:tc>
        <w:tc>
          <w:tcPr>
            <w:tcW w:w="1620" w:type="dxa"/>
          </w:tcPr>
          <w:p w14:paraId="39CDE241" w14:textId="6C944A36" w:rsidR="00AC1DDF" w:rsidRPr="0007431D" w:rsidRDefault="00AC1DDF" w:rsidP="0007431D">
            <w:pPr>
              <w:pStyle w:val="hsctableparagraph"/>
              <w:jc w:val="right"/>
            </w:pPr>
            <w:r w:rsidRPr="0007431D">
              <w:t>27,876,100</w:t>
            </w:r>
          </w:p>
        </w:tc>
      </w:tr>
      <w:tr w:rsidR="0007431D" w:rsidRPr="0007431D" w14:paraId="767DD1C2" w14:textId="77777777" w:rsidTr="00903E05">
        <w:tc>
          <w:tcPr>
            <w:tcW w:w="1440" w:type="dxa"/>
            <w:hideMark/>
          </w:tcPr>
          <w:p w14:paraId="4AA29ED1" w14:textId="77777777" w:rsidR="00AC1DDF" w:rsidRPr="0007431D" w:rsidRDefault="00AC1DDF" w:rsidP="0007431D">
            <w:pPr>
              <w:pStyle w:val="hsctableparagraph"/>
              <w:jc w:val="left"/>
            </w:pPr>
            <w:r w:rsidRPr="0007431D">
              <w:t>% by Weight</w:t>
            </w:r>
          </w:p>
        </w:tc>
        <w:tc>
          <w:tcPr>
            <w:tcW w:w="1620" w:type="dxa"/>
            <w:hideMark/>
          </w:tcPr>
          <w:p w14:paraId="5BB38E51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80.30%</w:t>
            </w:r>
          </w:p>
        </w:tc>
        <w:tc>
          <w:tcPr>
            <w:tcW w:w="1620" w:type="dxa"/>
            <w:hideMark/>
          </w:tcPr>
          <w:p w14:paraId="1267A3D4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10.4</w:t>
            </w:r>
            <w:r w:rsidR="00666D18" w:rsidRPr="0007431D">
              <w:t>0</w:t>
            </w:r>
            <w:r w:rsidRPr="0007431D">
              <w:t>%</w:t>
            </w:r>
          </w:p>
        </w:tc>
        <w:tc>
          <w:tcPr>
            <w:tcW w:w="1530" w:type="dxa"/>
            <w:hideMark/>
          </w:tcPr>
          <w:p w14:paraId="2D04ACCC" w14:textId="77777777" w:rsidR="00AC1DDF" w:rsidRPr="0007431D" w:rsidRDefault="00666D18" w:rsidP="0007431D">
            <w:pPr>
              <w:pStyle w:val="hsctableparagraph"/>
              <w:jc w:val="right"/>
            </w:pPr>
            <w:r w:rsidRPr="0007431D">
              <w:t>4.14</w:t>
            </w:r>
            <w:r w:rsidR="00AC1DDF" w:rsidRPr="0007431D">
              <w:t>%</w:t>
            </w:r>
          </w:p>
        </w:tc>
        <w:tc>
          <w:tcPr>
            <w:tcW w:w="1620" w:type="dxa"/>
            <w:hideMark/>
          </w:tcPr>
          <w:p w14:paraId="2765CB1A" w14:textId="77777777" w:rsidR="00AC1DDF" w:rsidRPr="0007431D" w:rsidRDefault="00666D18" w:rsidP="0007431D">
            <w:pPr>
              <w:pStyle w:val="hsctableparagraph"/>
              <w:jc w:val="right"/>
            </w:pPr>
            <w:r w:rsidRPr="0007431D">
              <w:t>1.91</w:t>
            </w:r>
            <w:r w:rsidR="00AC1DDF" w:rsidRPr="0007431D">
              <w:t>%</w:t>
            </w:r>
          </w:p>
        </w:tc>
        <w:tc>
          <w:tcPr>
            <w:tcW w:w="1620" w:type="dxa"/>
          </w:tcPr>
          <w:p w14:paraId="072D78BE" w14:textId="77777777" w:rsidR="00AC1DDF" w:rsidRPr="0007431D" w:rsidRDefault="00AC1DDF" w:rsidP="0007431D">
            <w:pPr>
              <w:pStyle w:val="hsctableparagraph"/>
              <w:jc w:val="right"/>
            </w:pPr>
            <w:r w:rsidRPr="0007431D">
              <w:t>100%</w:t>
            </w:r>
          </w:p>
        </w:tc>
      </w:tr>
    </w:tbl>
    <w:p w14:paraId="53E4FD48" w14:textId="77777777" w:rsidR="0007549D" w:rsidRDefault="0007549D" w:rsidP="00C4017F">
      <w:pPr>
        <w:rPr>
          <w:b/>
          <w:u w:val="single"/>
        </w:rPr>
      </w:pPr>
    </w:p>
    <w:p w14:paraId="12D58C19" w14:textId="552A48A3" w:rsidR="00C4017F" w:rsidRDefault="00C4017F" w:rsidP="0090511D">
      <w:pPr>
        <w:pStyle w:val="hscheading2"/>
      </w:pPr>
      <w:r>
        <w:t>Hawaii contribution to Total US Catch</w:t>
      </w:r>
      <w:r w:rsidR="00A62A13">
        <w:t xml:space="preserve"> landed </w:t>
      </w:r>
      <w:r w:rsidR="00511E06">
        <w:br/>
      </w:r>
      <w:r w:rsidR="00A62A13">
        <w:t>in US Ports</w:t>
      </w:r>
      <w:r w:rsidR="00511E06">
        <w:t xml:space="preserve"> </w:t>
      </w:r>
      <w:r w:rsidR="00527C65">
        <w:t>in 2012</w:t>
      </w:r>
    </w:p>
    <w:tbl>
      <w:tblPr>
        <w:tblStyle w:val="hsctable1"/>
        <w:tblW w:w="9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65"/>
        <w:gridCol w:w="1365"/>
        <w:gridCol w:w="1366"/>
        <w:gridCol w:w="1365"/>
        <w:gridCol w:w="1366"/>
        <w:gridCol w:w="1365"/>
        <w:gridCol w:w="1366"/>
      </w:tblGrid>
      <w:tr w:rsidR="0007431D" w14:paraId="7510005A" w14:textId="77777777" w:rsidTr="00903E05">
        <w:tc>
          <w:tcPr>
            <w:tcW w:w="1365" w:type="dxa"/>
            <w:hideMark/>
          </w:tcPr>
          <w:p w14:paraId="256C65DD" w14:textId="77777777" w:rsidR="00C4017F" w:rsidRDefault="00C4017F" w:rsidP="0007431D">
            <w:pPr>
              <w:pStyle w:val="hsctableheading1"/>
            </w:pPr>
            <w:r w:rsidRPr="00195003">
              <w:t>Species</w:t>
            </w:r>
          </w:p>
        </w:tc>
        <w:tc>
          <w:tcPr>
            <w:tcW w:w="1365" w:type="dxa"/>
            <w:hideMark/>
          </w:tcPr>
          <w:p w14:paraId="0D197227" w14:textId="0B4AF8E9" w:rsidR="00C4017F" w:rsidRDefault="00C4017F" w:rsidP="0007431D">
            <w:pPr>
              <w:pStyle w:val="hsctableheading1"/>
            </w:pPr>
            <w:r>
              <w:t xml:space="preserve">Total US </w:t>
            </w:r>
            <w:r w:rsidR="0007431D" w:rsidRPr="0007431D">
              <w:rPr>
                <w:rStyle w:val="hscgray"/>
              </w:rPr>
              <w:t>(</w:t>
            </w:r>
            <w:r w:rsidRPr="0007431D">
              <w:rPr>
                <w:rStyle w:val="hscgray"/>
              </w:rPr>
              <w:t>lb</w:t>
            </w:r>
            <w:r w:rsidR="0007431D" w:rsidRPr="0007431D">
              <w:rPr>
                <w:rStyle w:val="hscgray"/>
              </w:rPr>
              <w:t xml:space="preserve"> </w:t>
            </w:r>
            <w:r w:rsidRPr="0007431D">
              <w:rPr>
                <w:rStyle w:val="hscgray"/>
              </w:rPr>
              <w:t>round wt</w:t>
            </w:r>
            <w:r w:rsidR="0007431D" w:rsidRPr="0007431D">
              <w:rPr>
                <w:rStyle w:val="hscgray"/>
              </w:rPr>
              <w:t>)</w:t>
            </w:r>
          </w:p>
        </w:tc>
        <w:tc>
          <w:tcPr>
            <w:tcW w:w="1366" w:type="dxa"/>
            <w:hideMark/>
          </w:tcPr>
          <w:p w14:paraId="50219E33" w14:textId="4C422F5F" w:rsidR="00C4017F" w:rsidRDefault="00C4017F" w:rsidP="0007431D">
            <w:pPr>
              <w:pStyle w:val="hsctableheading1"/>
            </w:pPr>
            <w:r>
              <w:t xml:space="preserve">Total HI </w:t>
            </w:r>
            <w:r w:rsidR="0007431D" w:rsidRPr="0007431D">
              <w:rPr>
                <w:rStyle w:val="hscgray"/>
              </w:rPr>
              <w:t>(</w:t>
            </w:r>
            <w:r w:rsidRPr="0007431D">
              <w:rPr>
                <w:rStyle w:val="hscgray"/>
              </w:rPr>
              <w:t>lb</w:t>
            </w:r>
            <w:r w:rsidR="0007431D" w:rsidRPr="0007431D">
              <w:rPr>
                <w:rStyle w:val="hscgray"/>
              </w:rPr>
              <w:t xml:space="preserve"> </w:t>
            </w:r>
            <w:r w:rsidRPr="0007431D">
              <w:rPr>
                <w:rStyle w:val="hscgray"/>
              </w:rPr>
              <w:t>round wt</w:t>
            </w:r>
            <w:r w:rsidR="0007431D" w:rsidRPr="0007431D">
              <w:rPr>
                <w:rStyle w:val="hscgray"/>
              </w:rPr>
              <w:t>)</w:t>
            </w:r>
          </w:p>
        </w:tc>
        <w:tc>
          <w:tcPr>
            <w:tcW w:w="1365" w:type="dxa"/>
            <w:hideMark/>
          </w:tcPr>
          <w:p w14:paraId="34BEFB4C" w14:textId="48FE7AED" w:rsidR="00C4017F" w:rsidRDefault="0072550F" w:rsidP="0007431D">
            <w:pPr>
              <w:pStyle w:val="hsctableheading1"/>
            </w:pPr>
            <w:r>
              <w:t xml:space="preserve">HI </w:t>
            </w:r>
            <w:r w:rsidR="00C4017F">
              <w:t xml:space="preserve">% of US </w:t>
            </w:r>
            <w:r w:rsidR="0007431D" w:rsidRPr="0007431D">
              <w:rPr>
                <w:rStyle w:val="hscgray"/>
              </w:rPr>
              <w:t>(</w:t>
            </w:r>
            <w:r w:rsidR="00C4017F" w:rsidRPr="0007431D">
              <w:rPr>
                <w:rStyle w:val="hscgray"/>
              </w:rPr>
              <w:t>total wt</w:t>
            </w:r>
            <w:r w:rsidR="0007431D" w:rsidRPr="0007431D">
              <w:rPr>
                <w:rStyle w:val="hscgray"/>
              </w:rPr>
              <w:t>)</w:t>
            </w:r>
          </w:p>
        </w:tc>
        <w:tc>
          <w:tcPr>
            <w:tcW w:w="1366" w:type="dxa"/>
            <w:hideMark/>
          </w:tcPr>
          <w:p w14:paraId="1DBB5440" w14:textId="65BEA3DF" w:rsidR="00C4017F" w:rsidRDefault="00C4017F" w:rsidP="0007431D">
            <w:pPr>
              <w:pStyle w:val="hsctableheading1"/>
            </w:pPr>
            <w:r>
              <w:t xml:space="preserve">Total </w:t>
            </w:r>
            <w:r w:rsidR="0007431D">
              <w:br/>
            </w:r>
            <w:r>
              <w:t>US $</w:t>
            </w:r>
          </w:p>
        </w:tc>
        <w:tc>
          <w:tcPr>
            <w:tcW w:w="1365" w:type="dxa"/>
            <w:hideMark/>
          </w:tcPr>
          <w:p w14:paraId="369BD339" w14:textId="5DA190AE" w:rsidR="00C4017F" w:rsidRDefault="00C4017F" w:rsidP="0007431D">
            <w:pPr>
              <w:pStyle w:val="hsctableheading1"/>
            </w:pPr>
            <w:r>
              <w:t xml:space="preserve">Total </w:t>
            </w:r>
            <w:r w:rsidR="0007431D">
              <w:br/>
            </w:r>
            <w:r>
              <w:t>HI $</w:t>
            </w:r>
          </w:p>
        </w:tc>
        <w:tc>
          <w:tcPr>
            <w:tcW w:w="1366" w:type="dxa"/>
            <w:hideMark/>
          </w:tcPr>
          <w:p w14:paraId="1302FF7C" w14:textId="7C2BBAA4" w:rsidR="00C4017F" w:rsidRDefault="00C4017F" w:rsidP="0007431D">
            <w:pPr>
              <w:pStyle w:val="hsctableheading1"/>
            </w:pPr>
            <w:r>
              <w:t xml:space="preserve">HI % of US </w:t>
            </w:r>
            <w:r w:rsidR="0007431D" w:rsidRPr="0007431D">
              <w:rPr>
                <w:rStyle w:val="hscgray"/>
              </w:rPr>
              <w:t>(</w:t>
            </w:r>
            <w:r w:rsidRPr="0007431D">
              <w:rPr>
                <w:rStyle w:val="hscgray"/>
              </w:rPr>
              <w:t>total $</w:t>
            </w:r>
            <w:r w:rsidR="0007431D" w:rsidRPr="0007431D">
              <w:rPr>
                <w:rStyle w:val="hscgray"/>
              </w:rPr>
              <w:t>)</w:t>
            </w:r>
          </w:p>
        </w:tc>
      </w:tr>
      <w:tr w:rsidR="0007431D" w14:paraId="27502D8C" w14:textId="77777777" w:rsidTr="00903E05">
        <w:tc>
          <w:tcPr>
            <w:tcW w:w="1365" w:type="dxa"/>
            <w:hideMark/>
          </w:tcPr>
          <w:p w14:paraId="01EA6167" w14:textId="77777777" w:rsidR="00C4017F" w:rsidRDefault="00C4017F" w:rsidP="0007431D">
            <w:pPr>
              <w:pStyle w:val="hsctableparagraph"/>
              <w:jc w:val="left"/>
            </w:pPr>
            <w:r>
              <w:t>Swordfish</w:t>
            </w:r>
          </w:p>
        </w:tc>
        <w:tc>
          <w:tcPr>
            <w:tcW w:w="1365" w:type="dxa"/>
            <w:hideMark/>
          </w:tcPr>
          <w:p w14:paraId="17A764B1" w14:textId="77777777" w:rsidR="00C4017F" w:rsidRDefault="00527C65" w:rsidP="0007431D">
            <w:pPr>
              <w:pStyle w:val="hsctableparagraph"/>
              <w:jc w:val="right"/>
            </w:pPr>
            <w:r>
              <w:t>8,952,000</w:t>
            </w:r>
            <w:r w:rsidR="00C4017F">
              <w:t xml:space="preserve"> lb</w:t>
            </w:r>
          </w:p>
        </w:tc>
        <w:tc>
          <w:tcPr>
            <w:tcW w:w="1366" w:type="dxa"/>
            <w:hideMark/>
          </w:tcPr>
          <w:p w14:paraId="0BCE9D98" w14:textId="77777777" w:rsidR="00C4017F" w:rsidRDefault="00527C65" w:rsidP="0007431D">
            <w:pPr>
              <w:pStyle w:val="hsctableparagraph"/>
              <w:jc w:val="right"/>
            </w:pPr>
            <w:r>
              <w:t>3,094</w:t>
            </w:r>
            <w:r w:rsidR="00C4017F">
              <w:t>,000 lb</w:t>
            </w:r>
          </w:p>
        </w:tc>
        <w:tc>
          <w:tcPr>
            <w:tcW w:w="1365" w:type="dxa"/>
            <w:hideMark/>
          </w:tcPr>
          <w:p w14:paraId="108078AF" w14:textId="77777777" w:rsidR="00C4017F" w:rsidRDefault="00527C65" w:rsidP="0007431D">
            <w:pPr>
              <w:pStyle w:val="hsctableparagraph"/>
              <w:jc w:val="right"/>
            </w:pPr>
            <w:r>
              <w:t>34.56</w:t>
            </w:r>
            <w:r w:rsidR="00C4017F">
              <w:t>%</w:t>
            </w:r>
          </w:p>
        </w:tc>
        <w:tc>
          <w:tcPr>
            <w:tcW w:w="1366" w:type="dxa"/>
            <w:hideMark/>
          </w:tcPr>
          <w:p w14:paraId="2BA28859" w14:textId="77777777" w:rsidR="00C4017F" w:rsidRDefault="00C4017F" w:rsidP="0007431D">
            <w:pPr>
              <w:pStyle w:val="hsctableparagraph"/>
              <w:jc w:val="right"/>
            </w:pPr>
            <w:r>
              <w:t>$2</w:t>
            </w:r>
            <w:r w:rsidR="00527C65">
              <w:t>6,862,000</w:t>
            </w:r>
          </w:p>
        </w:tc>
        <w:tc>
          <w:tcPr>
            <w:tcW w:w="1365" w:type="dxa"/>
            <w:hideMark/>
          </w:tcPr>
          <w:p w14:paraId="15558FB5" w14:textId="77777777" w:rsidR="00C4017F" w:rsidRDefault="00C4017F" w:rsidP="0007431D">
            <w:pPr>
              <w:pStyle w:val="hsctableparagraph"/>
              <w:jc w:val="right"/>
            </w:pPr>
            <w:r>
              <w:t>$</w:t>
            </w:r>
            <w:r w:rsidR="00527C65">
              <w:t>6,699,000</w:t>
            </w:r>
          </w:p>
        </w:tc>
        <w:tc>
          <w:tcPr>
            <w:tcW w:w="1366" w:type="dxa"/>
          </w:tcPr>
          <w:p w14:paraId="7F20C5C6" w14:textId="4A0E1D8E" w:rsidR="00C4017F" w:rsidRDefault="00527C65" w:rsidP="0007431D">
            <w:pPr>
              <w:pStyle w:val="hsctableparagraph"/>
              <w:jc w:val="right"/>
            </w:pPr>
            <w:r>
              <w:t>24.9</w:t>
            </w:r>
            <w:r w:rsidR="00C4017F">
              <w:t>%</w:t>
            </w:r>
          </w:p>
        </w:tc>
      </w:tr>
      <w:tr w:rsidR="0007431D" w14:paraId="397CDDC8" w14:textId="77777777" w:rsidTr="00903E05">
        <w:tc>
          <w:tcPr>
            <w:tcW w:w="1365" w:type="dxa"/>
            <w:hideMark/>
          </w:tcPr>
          <w:p w14:paraId="49F02DFF" w14:textId="77777777" w:rsidR="00C4017F" w:rsidRDefault="00C4017F" w:rsidP="0007431D">
            <w:pPr>
              <w:pStyle w:val="hsctableparagraph"/>
              <w:jc w:val="left"/>
            </w:pPr>
            <w:r>
              <w:t>Bigeye tuna</w:t>
            </w:r>
          </w:p>
        </w:tc>
        <w:tc>
          <w:tcPr>
            <w:tcW w:w="1365" w:type="dxa"/>
            <w:hideMark/>
          </w:tcPr>
          <w:p w14:paraId="1E217D2F" w14:textId="77777777" w:rsidR="00C4017F" w:rsidRDefault="00527C65" w:rsidP="0007431D">
            <w:pPr>
              <w:pStyle w:val="hsctableparagraph"/>
              <w:jc w:val="right"/>
            </w:pPr>
            <w:r>
              <w:t>15,232</w:t>
            </w:r>
            <w:r w:rsidR="00C4017F">
              <w:t>,000 lb</w:t>
            </w:r>
          </w:p>
        </w:tc>
        <w:tc>
          <w:tcPr>
            <w:tcW w:w="1366" w:type="dxa"/>
            <w:hideMark/>
          </w:tcPr>
          <w:p w14:paraId="05CC3CFC" w14:textId="77777777" w:rsidR="00C4017F" w:rsidRDefault="00527C65" w:rsidP="0007431D">
            <w:pPr>
              <w:pStyle w:val="hsctableparagraph"/>
              <w:jc w:val="right"/>
            </w:pPr>
            <w:r>
              <w:t>14,022,000</w:t>
            </w:r>
            <w:r w:rsidR="00C4017F">
              <w:t xml:space="preserve"> lb</w:t>
            </w:r>
          </w:p>
        </w:tc>
        <w:tc>
          <w:tcPr>
            <w:tcW w:w="1365" w:type="dxa"/>
            <w:hideMark/>
          </w:tcPr>
          <w:p w14:paraId="074C38E9" w14:textId="77777777" w:rsidR="00C4017F" w:rsidRDefault="00527C65" w:rsidP="0007431D">
            <w:pPr>
              <w:pStyle w:val="hsctableparagraph"/>
              <w:jc w:val="right"/>
            </w:pPr>
            <w:r>
              <w:t>92.05</w:t>
            </w:r>
            <w:r w:rsidR="00C4017F">
              <w:t>%</w:t>
            </w:r>
          </w:p>
        </w:tc>
        <w:tc>
          <w:tcPr>
            <w:tcW w:w="1366" w:type="dxa"/>
            <w:hideMark/>
          </w:tcPr>
          <w:p w14:paraId="12300050" w14:textId="77777777" w:rsidR="00C4017F" w:rsidRDefault="00527C65" w:rsidP="0007431D">
            <w:pPr>
              <w:pStyle w:val="hsctableparagraph"/>
              <w:jc w:val="right"/>
            </w:pPr>
            <w:r>
              <w:t>$70,682</w:t>
            </w:r>
            <w:r w:rsidR="00C4017F">
              <w:t>,000</w:t>
            </w:r>
          </w:p>
        </w:tc>
        <w:tc>
          <w:tcPr>
            <w:tcW w:w="1365" w:type="dxa"/>
            <w:hideMark/>
          </w:tcPr>
          <w:p w14:paraId="5688C358" w14:textId="77777777" w:rsidR="00C4017F" w:rsidRDefault="00527C65" w:rsidP="0007431D">
            <w:pPr>
              <w:pStyle w:val="hsctableparagraph"/>
              <w:jc w:val="right"/>
            </w:pPr>
            <w:r>
              <w:t>$63,814</w:t>
            </w:r>
            <w:r w:rsidR="00C4017F">
              <w:t>,000</w:t>
            </w:r>
          </w:p>
        </w:tc>
        <w:tc>
          <w:tcPr>
            <w:tcW w:w="1366" w:type="dxa"/>
            <w:hideMark/>
          </w:tcPr>
          <w:p w14:paraId="57BAEF58" w14:textId="77777777" w:rsidR="00C4017F" w:rsidRDefault="00527C65" w:rsidP="0007431D">
            <w:pPr>
              <w:pStyle w:val="hsctableparagraph"/>
              <w:jc w:val="right"/>
            </w:pPr>
            <w:r>
              <w:t>90.28</w:t>
            </w:r>
            <w:r w:rsidR="00C4017F">
              <w:t>%</w:t>
            </w:r>
          </w:p>
        </w:tc>
      </w:tr>
      <w:tr w:rsidR="0007431D" w14:paraId="018EF5FC" w14:textId="77777777" w:rsidTr="00903E05">
        <w:tc>
          <w:tcPr>
            <w:tcW w:w="1365" w:type="dxa"/>
            <w:hideMark/>
          </w:tcPr>
          <w:p w14:paraId="06552132" w14:textId="44D39111" w:rsidR="00C4017F" w:rsidRDefault="00F27199" w:rsidP="0007431D">
            <w:pPr>
              <w:pStyle w:val="hsctableparagraph"/>
              <w:jc w:val="left"/>
            </w:pPr>
            <w:r>
              <w:t xml:space="preserve">Yellowfin </w:t>
            </w:r>
            <w:r w:rsidR="00C4017F">
              <w:t>tuna</w:t>
            </w:r>
          </w:p>
        </w:tc>
        <w:tc>
          <w:tcPr>
            <w:tcW w:w="1365" w:type="dxa"/>
            <w:hideMark/>
          </w:tcPr>
          <w:p w14:paraId="0AE71EFC" w14:textId="77777777" w:rsidR="00C4017F" w:rsidRDefault="00527C65" w:rsidP="0007431D">
            <w:pPr>
              <w:pStyle w:val="hsctableparagraph"/>
              <w:jc w:val="right"/>
            </w:pPr>
            <w:r>
              <w:t>8,438</w:t>
            </w:r>
            <w:r w:rsidR="00C4017F">
              <w:t>,000 lb</w:t>
            </w:r>
          </w:p>
        </w:tc>
        <w:tc>
          <w:tcPr>
            <w:tcW w:w="1366" w:type="dxa"/>
            <w:hideMark/>
          </w:tcPr>
          <w:p w14:paraId="5F9C5647" w14:textId="77777777" w:rsidR="00C4017F" w:rsidRDefault="00527C65" w:rsidP="0007431D">
            <w:pPr>
              <w:pStyle w:val="hsctableparagraph"/>
              <w:jc w:val="right"/>
            </w:pPr>
            <w:r>
              <w:t>4,098</w:t>
            </w:r>
            <w:r w:rsidR="00C4017F">
              <w:t>,000 lb</w:t>
            </w:r>
          </w:p>
        </w:tc>
        <w:tc>
          <w:tcPr>
            <w:tcW w:w="1365" w:type="dxa"/>
            <w:hideMark/>
          </w:tcPr>
          <w:p w14:paraId="0BA6CC7F" w14:textId="77777777" w:rsidR="00C4017F" w:rsidRDefault="00527C65" w:rsidP="0007431D">
            <w:pPr>
              <w:pStyle w:val="hsctableparagraph"/>
              <w:jc w:val="right"/>
            </w:pPr>
            <w:r>
              <w:t>48.56</w:t>
            </w:r>
            <w:r w:rsidR="00C4017F">
              <w:t>%</w:t>
            </w:r>
          </w:p>
        </w:tc>
        <w:tc>
          <w:tcPr>
            <w:tcW w:w="1366" w:type="dxa"/>
            <w:hideMark/>
          </w:tcPr>
          <w:p w14:paraId="18FFCA6E" w14:textId="77777777" w:rsidR="00C4017F" w:rsidRDefault="00527C65" w:rsidP="0007431D">
            <w:pPr>
              <w:pStyle w:val="hsctableparagraph"/>
              <w:jc w:val="right"/>
            </w:pPr>
            <w:r>
              <w:t>$30,292</w:t>
            </w:r>
            <w:r w:rsidR="00C4017F">
              <w:t>,000</w:t>
            </w:r>
          </w:p>
        </w:tc>
        <w:tc>
          <w:tcPr>
            <w:tcW w:w="1365" w:type="dxa"/>
            <w:hideMark/>
          </w:tcPr>
          <w:p w14:paraId="28058A78" w14:textId="77777777" w:rsidR="00C4017F" w:rsidRDefault="00527C65" w:rsidP="0007431D">
            <w:pPr>
              <w:pStyle w:val="hsctableparagraph"/>
              <w:jc w:val="right"/>
            </w:pPr>
            <w:r>
              <w:t>$13,173</w:t>
            </w:r>
            <w:r w:rsidR="00C4017F">
              <w:t>,000</w:t>
            </w:r>
          </w:p>
        </w:tc>
        <w:tc>
          <w:tcPr>
            <w:tcW w:w="1366" w:type="dxa"/>
            <w:hideMark/>
          </w:tcPr>
          <w:p w14:paraId="779DF362" w14:textId="77777777" w:rsidR="00C4017F" w:rsidRDefault="00527C65" w:rsidP="0007431D">
            <w:pPr>
              <w:pStyle w:val="hsctableparagraph"/>
              <w:jc w:val="right"/>
            </w:pPr>
            <w:r>
              <w:t>43.48</w:t>
            </w:r>
            <w:r w:rsidR="00C4017F">
              <w:t>%</w:t>
            </w:r>
          </w:p>
        </w:tc>
      </w:tr>
      <w:tr w:rsidR="0007431D" w14:paraId="72670D08" w14:textId="77777777" w:rsidTr="00903E05">
        <w:tc>
          <w:tcPr>
            <w:tcW w:w="1365" w:type="dxa"/>
            <w:hideMark/>
          </w:tcPr>
          <w:p w14:paraId="07F5DDD3" w14:textId="67521387" w:rsidR="00C4017F" w:rsidRDefault="00C4017F" w:rsidP="0007431D">
            <w:pPr>
              <w:pStyle w:val="hsctableparagraph"/>
              <w:jc w:val="left"/>
            </w:pPr>
            <w:r>
              <w:t>Albacore</w:t>
            </w:r>
            <w:r w:rsidR="00F27199">
              <w:t xml:space="preserve"> </w:t>
            </w:r>
            <w:r>
              <w:t>tuna</w:t>
            </w:r>
          </w:p>
        </w:tc>
        <w:tc>
          <w:tcPr>
            <w:tcW w:w="1365" w:type="dxa"/>
            <w:hideMark/>
          </w:tcPr>
          <w:p w14:paraId="7E4B96DB" w14:textId="77777777" w:rsidR="00C4017F" w:rsidRDefault="00527C65" w:rsidP="0007431D">
            <w:pPr>
              <w:pStyle w:val="hsctableparagraph"/>
              <w:jc w:val="right"/>
            </w:pPr>
            <w:r>
              <w:t>33,099</w:t>
            </w:r>
            <w:r w:rsidR="00C4017F">
              <w:t>,000 lb</w:t>
            </w:r>
          </w:p>
        </w:tc>
        <w:tc>
          <w:tcPr>
            <w:tcW w:w="1366" w:type="dxa"/>
            <w:hideMark/>
          </w:tcPr>
          <w:p w14:paraId="34E73A08" w14:textId="77777777" w:rsidR="00C4017F" w:rsidRDefault="00527C65" w:rsidP="0007431D">
            <w:pPr>
              <w:pStyle w:val="hsctableparagraph"/>
              <w:jc w:val="right"/>
            </w:pPr>
            <w:r>
              <w:t>2,009</w:t>
            </w:r>
            <w:r w:rsidR="00C4017F">
              <w:t>,000 lb</w:t>
            </w:r>
          </w:p>
        </w:tc>
        <w:tc>
          <w:tcPr>
            <w:tcW w:w="1365" w:type="dxa"/>
            <w:hideMark/>
          </w:tcPr>
          <w:p w14:paraId="25AA2318" w14:textId="77777777" w:rsidR="00C4017F" w:rsidRDefault="00527C65" w:rsidP="0007431D">
            <w:pPr>
              <w:pStyle w:val="hsctableparagraph"/>
              <w:jc w:val="right"/>
            </w:pPr>
            <w:r>
              <w:t>6.07</w:t>
            </w:r>
            <w:r w:rsidR="00C4017F">
              <w:t>%</w:t>
            </w:r>
          </w:p>
        </w:tc>
        <w:tc>
          <w:tcPr>
            <w:tcW w:w="1366" w:type="dxa"/>
            <w:hideMark/>
          </w:tcPr>
          <w:p w14:paraId="0B110F90" w14:textId="77777777" w:rsidR="00C4017F" w:rsidRDefault="00527C65" w:rsidP="0007431D">
            <w:pPr>
              <w:pStyle w:val="hsctableparagraph"/>
              <w:jc w:val="right"/>
            </w:pPr>
            <w:r>
              <w:t>$50,452</w:t>
            </w:r>
            <w:r w:rsidR="00C4017F">
              <w:t>,000</w:t>
            </w:r>
          </w:p>
        </w:tc>
        <w:tc>
          <w:tcPr>
            <w:tcW w:w="1365" w:type="dxa"/>
            <w:hideMark/>
          </w:tcPr>
          <w:p w14:paraId="288EB180" w14:textId="77777777" w:rsidR="00C4017F" w:rsidRDefault="00527C65" w:rsidP="0007431D">
            <w:pPr>
              <w:pStyle w:val="hsctableparagraph"/>
              <w:jc w:val="right"/>
            </w:pPr>
            <w:r>
              <w:t>$4,114</w:t>
            </w:r>
            <w:r w:rsidR="00C4017F">
              <w:t>,000</w:t>
            </w:r>
          </w:p>
        </w:tc>
        <w:tc>
          <w:tcPr>
            <w:tcW w:w="1366" w:type="dxa"/>
            <w:hideMark/>
          </w:tcPr>
          <w:p w14:paraId="053C3918" w14:textId="77777777" w:rsidR="00C4017F" w:rsidRDefault="00527C65" w:rsidP="0007431D">
            <w:pPr>
              <w:pStyle w:val="hsctableparagraph"/>
              <w:jc w:val="right"/>
            </w:pPr>
            <w:r>
              <w:t>8.15</w:t>
            </w:r>
            <w:r w:rsidR="00C4017F">
              <w:t>%</w:t>
            </w:r>
          </w:p>
        </w:tc>
      </w:tr>
    </w:tbl>
    <w:p w14:paraId="7D277716" w14:textId="77777777" w:rsidR="00BE7C80" w:rsidRDefault="00BE7C80" w:rsidP="00903E05">
      <w:pPr>
        <w:pStyle w:val="hscparagraph1"/>
        <w:rPr>
          <w:b/>
        </w:rPr>
      </w:pPr>
    </w:p>
    <w:p w14:paraId="0806D310" w14:textId="77777777" w:rsidR="00903E05" w:rsidRPr="008F771F" w:rsidRDefault="00C4017F" w:rsidP="008138FC">
      <w:pPr>
        <w:pStyle w:val="hscheading3"/>
        <w:rPr>
          <w:b w:val="0"/>
        </w:rPr>
      </w:pPr>
      <w:r w:rsidRPr="008F771F">
        <w:rPr>
          <w:b w:val="0"/>
        </w:rPr>
        <w:t>Sources</w:t>
      </w:r>
      <w:r w:rsidR="0044760D" w:rsidRPr="008F771F">
        <w:rPr>
          <w:b w:val="0"/>
        </w:rPr>
        <w:t xml:space="preserve"> for the Tables</w:t>
      </w:r>
      <w:r w:rsidRPr="008F771F">
        <w:rPr>
          <w:b w:val="0"/>
        </w:rPr>
        <w:t>:</w:t>
      </w:r>
      <w:r w:rsidR="0044760D" w:rsidRPr="008F771F">
        <w:rPr>
          <w:b w:val="0"/>
        </w:rPr>
        <w:t xml:space="preserve">  </w:t>
      </w:r>
    </w:p>
    <w:p w14:paraId="766BD866" w14:textId="5AEB93F8" w:rsidR="00142E7D" w:rsidRPr="0044760D" w:rsidRDefault="00142E7D" w:rsidP="00903E05">
      <w:pPr>
        <w:pStyle w:val="hscparagraph1"/>
        <w:rPr>
          <w:b/>
          <w:u w:val="single"/>
        </w:rPr>
      </w:pPr>
      <w:r w:rsidRPr="0044760D">
        <w:t xml:space="preserve">2012 Annual Report Pelagic Fisheries </w:t>
      </w:r>
      <w:r w:rsidR="00903E05">
        <w:t xml:space="preserve">of the Western Pacific Region. </w:t>
      </w:r>
      <w:r w:rsidRPr="0044760D">
        <w:t xml:space="preserve">West Pac Region Fishery Mgt Council. Honolulu, Hawaii, October 2014. </w:t>
      </w:r>
      <w:hyperlink r:id="rId12" w:history="1">
        <w:r w:rsidRPr="0044760D">
          <w:rPr>
            <w:rStyle w:val="Hyperlink"/>
          </w:rPr>
          <w:t>http://www.wpcouncil.org/wp-content/uploads/2013/03/2012-Pelagics-Annual-Report_9-21-2014.pdf</w:t>
        </w:r>
      </w:hyperlink>
      <w:r w:rsidR="00903E05">
        <w:t xml:space="preserve"> </w:t>
      </w:r>
      <w:r w:rsidRPr="0044760D">
        <w:t>accessed March 25, 2015</w:t>
      </w:r>
    </w:p>
    <w:p w14:paraId="796C3F7F" w14:textId="3DCC199E" w:rsidR="008138FC" w:rsidRDefault="00C82447" w:rsidP="008F771F">
      <w:pPr>
        <w:pStyle w:val="hscparagraph1"/>
      </w:pPr>
      <w:r w:rsidRPr="0044760D">
        <w:t>NOAA, 2014</w:t>
      </w:r>
      <w:r w:rsidR="00C4017F" w:rsidRPr="0044760D">
        <w:t>. Fis</w:t>
      </w:r>
      <w:r w:rsidRPr="0044760D">
        <w:t xml:space="preserve">heries of the United </w:t>
      </w:r>
      <w:r w:rsidRPr="00903E05">
        <w:rPr>
          <w:color w:val="auto"/>
        </w:rPr>
        <w:t>States</w:t>
      </w:r>
      <w:r w:rsidRPr="0044760D">
        <w:t xml:space="preserve"> 2013</w:t>
      </w:r>
      <w:r w:rsidR="00527C65" w:rsidRPr="0044760D">
        <w:t xml:space="preserve"> </w:t>
      </w:r>
      <w:hyperlink r:id="rId13" w:history="1">
        <w:r w:rsidR="00527C65" w:rsidRPr="0044760D">
          <w:rPr>
            <w:rStyle w:val="Hyperlink"/>
          </w:rPr>
          <w:t>https://www.st.nmfs.noaa.gov/commercial-fisheries/fus/fus13/index</w:t>
        </w:r>
      </w:hyperlink>
      <w:r w:rsidR="00527C65" w:rsidRPr="0044760D">
        <w:t xml:space="preserve"> </w:t>
      </w:r>
      <w:r w:rsidR="00C4017F" w:rsidRPr="0044760D">
        <w:t xml:space="preserve"> </w:t>
      </w:r>
    </w:p>
    <w:p w14:paraId="47072320" w14:textId="77777777" w:rsidR="00221B7E" w:rsidRDefault="00221B7E" w:rsidP="008F771F">
      <w:pPr>
        <w:pStyle w:val="hscparagraph1"/>
      </w:pPr>
    </w:p>
    <w:p w14:paraId="77DB5558" w14:textId="42580ADC" w:rsidR="00221B7E" w:rsidRPr="0044760D" w:rsidRDefault="00221B7E" w:rsidP="008F771F">
      <w:pPr>
        <w:pStyle w:val="hscparagraph1"/>
      </w:pPr>
      <w:r>
        <w:t>Prepared by John Kaneko MS, DVM, Hawaii Seafood Council, Honolulu, Hawaii. July 2015.  With support from the Harold K.L. Castle Foundation.</w:t>
      </w:r>
    </w:p>
    <w:sectPr w:rsidR="00221B7E" w:rsidRPr="0044760D" w:rsidSect="008138FC">
      <w:type w:val="continuous"/>
      <w:pgSz w:w="12240" w:h="15840"/>
      <w:pgMar w:top="1728" w:right="288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E9A96" w14:textId="77777777" w:rsidR="008D3272" w:rsidRDefault="008D3272" w:rsidP="00A22904">
      <w:pPr>
        <w:spacing w:after="0" w:line="240" w:lineRule="auto"/>
      </w:pPr>
      <w:r>
        <w:separator/>
      </w:r>
    </w:p>
  </w:endnote>
  <w:endnote w:type="continuationSeparator" w:id="0">
    <w:p w14:paraId="73E89615" w14:textId="77777777" w:rsidR="008D3272" w:rsidRDefault="008D3272" w:rsidP="00A2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Bold">
    <w:panose1 w:val="020B0802020104020203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CEC29" w14:textId="416B4EAE" w:rsidR="00FC5096" w:rsidRDefault="00FC5096" w:rsidP="00B64C7D">
    <w:pPr>
      <w:pStyle w:val="hscfooter"/>
    </w:pPr>
    <w:r>
      <w:t>John Kaneko MS, DVM, Hawaii Se</w:t>
    </w:r>
    <w:r w:rsidR="004A5FDA">
      <w:t>afood Council, Honolulu, Hawaii.  July 2015.</w:t>
    </w:r>
  </w:p>
  <w:p w14:paraId="2F5CB68A" w14:textId="563C2EDE" w:rsidR="00FC5096" w:rsidRDefault="00FC5096" w:rsidP="00F27199">
    <w:pPr>
      <w:pStyle w:val="hscfooter"/>
    </w:pPr>
    <w:r>
      <w:t xml:space="preserve">Page </w:t>
    </w:r>
    <w:r w:rsidRPr="00BE7C80">
      <w:fldChar w:fldCharType="begin"/>
    </w:r>
    <w:r w:rsidRPr="00BE7C80">
      <w:instrText xml:space="preserve"> PAGE </w:instrText>
    </w:r>
    <w:r w:rsidRPr="00BE7C80">
      <w:fldChar w:fldCharType="separate"/>
    </w:r>
    <w:r w:rsidR="00A065EA">
      <w:rPr>
        <w:noProof/>
      </w:rPr>
      <w:t>3</w:t>
    </w:r>
    <w:r w:rsidRPr="00BE7C8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CCC9B" w14:textId="77777777" w:rsidR="00FC5096" w:rsidRPr="00B64C7D" w:rsidRDefault="00FC5096" w:rsidP="00B64C7D">
    <w:pPr>
      <w:pStyle w:val="hscfooter"/>
    </w:pPr>
    <w:r w:rsidRPr="00B64C7D">
      <w:t xml:space="preserve">John Kaneko MS, DVM, Hawaii Seafood Council, Honolulu, Hawaii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6D13" w14:textId="77777777" w:rsidR="008D3272" w:rsidRDefault="008D3272" w:rsidP="00A22904">
      <w:pPr>
        <w:spacing w:after="0" w:line="240" w:lineRule="auto"/>
      </w:pPr>
      <w:r>
        <w:separator/>
      </w:r>
    </w:p>
  </w:footnote>
  <w:footnote w:type="continuationSeparator" w:id="0">
    <w:p w14:paraId="62B9953E" w14:textId="77777777" w:rsidR="008D3272" w:rsidRDefault="008D3272" w:rsidP="00A2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EEF4E" w14:textId="045A24B8" w:rsidR="00FC5096" w:rsidRPr="00B64C7D" w:rsidRDefault="00FC5096" w:rsidP="006C579B">
    <w:pPr>
      <w:pStyle w:val="hscheader"/>
      <w:ind w:left="-1440"/>
    </w:pPr>
    <w:r>
      <w:rPr>
        <w:noProof/>
      </w:rPr>
      <w:drawing>
        <wp:inline distT="0" distB="0" distL="0" distR="0" wp14:anchorId="113F493D" wp14:editId="7A84572F">
          <wp:extent cx="7772400" cy="13719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c_factsheet_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E50A5" w14:textId="4A8460BD" w:rsidR="00FC5096" w:rsidRDefault="00FC5096" w:rsidP="006C579B">
    <w:pPr>
      <w:pStyle w:val="Header"/>
      <w:ind w:left="-1440"/>
    </w:pPr>
    <w:r>
      <w:rPr>
        <w:noProof/>
      </w:rPr>
      <w:drawing>
        <wp:inline distT="0" distB="0" distL="0" distR="0" wp14:anchorId="53800980" wp14:editId="780BECC6">
          <wp:extent cx="7775873" cy="13722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c_factsheet_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73" cy="137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EE46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E91A16"/>
    <w:multiLevelType w:val="hybridMultilevel"/>
    <w:tmpl w:val="88BC3AD0"/>
    <w:lvl w:ilvl="0" w:tplc="C10A201E">
      <w:start w:val="1"/>
      <w:numFmt w:val="bullet"/>
      <w:pStyle w:val="hscbullets1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608C7"/>
    <w:multiLevelType w:val="multilevel"/>
    <w:tmpl w:val="9B186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A05E0"/>
    <w:multiLevelType w:val="hybridMultilevel"/>
    <w:tmpl w:val="8A44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7F"/>
    <w:rsid w:val="0007431D"/>
    <w:rsid w:val="0007549D"/>
    <w:rsid w:val="00142E7D"/>
    <w:rsid w:val="00195003"/>
    <w:rsid w:val="001F6977"/>
    <w:rsid w:val="00221B7E"/>
    <w:rsid w:val="002C7BBD"/>
    <w:rsid w:val="002F4F25"/>
    <w:rsid w:val="00350BAD"/>
    <w:rsid w:val="003C1A3E"/>
    <w:rsid w:val="00416AC2"/>
    <w:rsid w:val="0044760D"/>
    <w:rsid w:val="00455997"/>
    <w:rsid w:val="00473512"/>
    <w:rsid w:val="004A5FDA"/>
    <w:rsid w:val="00511E06"/>
    <w:rsid w:val="00527C65"/>
    <w:rsid w:val="005539F8"/>
    <w:rsid w:val="005604FB"/>
    <w:rsid w:val="00637C60"/>
    <w:rsid w:val="00664EA0"/>
    <w:rsid w:val="00666D18"/>
    <w:rsid w:val="00677B75"/>
    <w:rsid w:val="006A207B"/>
    <w:rsid w:val="006C579B"/>
    <w:rsid w:val="0072550F"/>
    <w:rsid w:val="00770A05"/>
    <w:rsid w:val="007A4C79"/>
    <w:rsid w:val="007C71C0"/>
    <w:rsid w:val="007E2547"/>
    <w:rsid w:val="007F439E"/>
    <w:rsid w:val="00810687"/>
    <w:rsid w:val="008138FC"/>
    <w:rsid w:val="00823BE4"/>
    <w:rsid w:val="008336A2"/>
    <w:rsid w:val="008D3272"/>
    <w:rsid w:val="008F771F"/>
    <w:rsid w:val="00903E05"/>
    <w:rsid w:val="0090511D"/>
    <w:rsid w:val="009C0CC8"/>
    <w:rsid w:val="009D39DD"/>
    <w:rsid w:val="00A065EA"/>
    <w:rsid w:val="00A138DD"/>
    <w:rsid w:val="00A22904"/>
    <w:rsid w:val="00A27007"/>
    <w:rsid w:val="00A35389"/>
    <w:rsid w:val="00A62A13"/>
    <w:rsid w:val="00AC1DDF"/>
    <w:rsid w:val="00AD5A35"/>
    <w:rsid w:val="00AE29D2"/>
    <w:rsid w:val="00B64C7D"/>
    <w:rsid w:val="00BE3CC4"/>
    <w:rsid w:val="00BE7C80"/>
    <w:rsid w:val="00BF76EA"/>
    <w:rsid w:val="00C4017F"/>
    <w:rsid w:val="00C409A3"/>
    <w:rsid w:val="00C6244C"/>
    <w:rsid w:val="00C6670F"/>
    <w:rsid w:val="00C75320"/>
    <w:rsid w:val="00C82447"/>
    <w:rsid w:val="00CD046B"/>
    <w:rsid w:val="00CD7412"/>
    <w:rsid w:val="00DC0C92"/>
    <w:rsid w:val="00E27CC0"/>
    <w:rsid w:val="00E40979"/>
    <w:rsid w:val="00EC6DDB"/>
    <w:rsid w:val="00EE20E9"/>
    <w:rsid w:val="00F15A3A"/>
    <w:rsid w:val="00F27199"/>
    <w:rsid w:val="00F46DC0"/>
    <w:rsid w:val="00FB3E16"/>
    <w:rsid w:val="00F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BFC1C"/>
  <w15:docId w15:val="{227F5FB2-FF60-4730-A8BA-85B53C5F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7F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E05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C4017F"/>
    <w:pPr>
      <w:ind w:left="720"/>
      <w:contextualSpacing/>
    </w:pPr>
  </w:style>
  <w:style w:type="table" w:styleId="TableGrid">
    <w:name w:val="Table Grid"/>
    <w:basedOn w:val="TableNormal"/>
    <w:uiPriority w:val="59"/>
    <w:rsid w:val="00C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7C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90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2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904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64C7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scheading1">
    <w:name w:val="hsc_heading1"/>
    <w:qFormat/>
    <w:rsid w:val="00FC5096"/>
    <w:pPr>
      <w:spacing w:before="240" w:after="360"/>
    </w:pPr>
    <w:rPr>
      <w:rFonts w:ascii="Gill Sans MT" w:eastAsiaTheme="majorEastAsia" w:hAnsi="Gill Sans MT" w:cstheme="majorBidi"/>
      <w:color w:val="004888"/>
      <w:sz w:val="40"/>
      <w:szCs w:val="40"/>
    </w:rPr>
  </w:style>
  <w:style w:type="paragraph" w:customStyle="1" w:styleId="hscfooter">
    <w:name w:val="hsc_footer"/>
    <w:qFormat/>
    <w:rsid w:val="00B64C7D"/>
    <w:rPr>
      <w:rFonts w:ascii="Gill Sans MT" w:hAnsi="Gill Sans MT"/>
      <w:color w:val="7F7F7F" w:themeColor="text1" w:themeTint="80"/>
      <w:sz w:val="20"/>
      <w:szCs w:val="20"/>
    </w:rPr>
  </w:style>
  <w:style w:type="paragraph" w:customStyle="1" w:styleId="hscheader">
    <w:name w:val="hsc_header"/>
    <w:qFormat/>
    <w:rsid w:val="00B64C7D"/>
    <w:rPr>
      <w:rFonts w:ascii="Gill Sans MT" w:hAnsi="Gill Sans MT"/>
      <w:color w:val="7F7F7F" w:themeColor="text1" w:themeTint="80"/>
      <w:sz w:val="20"/>
      <w:szCs w:val="20"/>
    </w:rPr>
  </w:style>
  <w:style w:type="paragraph" w:customStyle="1" w:styleId="hscheading2">
    <w:name w:val="hsc_heading2"/>
    <w:basedOn w:val="hscheading1"/>
    <w:qFormat/>
    <w:rsid w:val="006A207B"/>
    <w:pPr>
      <w:spacing w:after="120"/>
    </w:pPr>
    <w:rPr>
      <w:caps/>
      <w:color w:val="008ABD"/>
      <w:spacing w:val="1"/>
      <w:sz w:val="24"/>
      <w:szCs w:val="24"/>
    </w:rPr>
  </w:style>
  <w:style w:type="paragraph" w:customStyle="1" w:styleId="hscparagraph1">
    <w:name w:val="hsc_paragraph1"/>
    <w:qFormat/>
    <w:rsid w:val="008F771F"/>
    <w:pPr>
      <w:spacing w:after="120"/>
    </w:pPr>
    <w:rPr>
      <w:rFonts w:ascii="Gill Sans MT" w:eastAsiaTheme="majorEastAsia" w:hAnsi="Gill Sans MT" w:cstheme="majorBidi"/>
      <w:color w:val="404040" w:themeColor="text1" w:themeTint="BF"/>
      <w:sz w:val="24"/>
      <w:szCs w:val="24"/>
    </w:rPr>
  </w:style>
  <w:style w:type="paragraph" w:customStyle="1" w:styleId="hscbullets1">
    <w:name w:val="hsc_bullets1"/>
    <w:basedOn w:val="hscparagraph1"/>
    <w:qFormat/>
    <w:rsid w:val="008F771F"/>
    <w:pPr>
      <w:numPr>
        <w:numId w:val="3"/>
      </w:numPr>
      <w:spacing w:after="0"/>
      <w:ind w:left="288"/>
    </w:pPr>
  </w:style>
  <w:style w:type="paragraph" w:customStyle="1" w:styleId="hsclistindented">
    <w:name w:val="hsc_list_indented"/>
    <w:basedOn w:val="hscparagraph1"/>
    <w:qFormat/>
    <w:rsid w:val="002F4F25"/>
    <w:pPr>
      <w:ind w:left="720" w:hanging="720"/>
    </w:pPr>
  </w:style>
  <w:style w:type="paragraph" w:customStyle="1" w:styleId="hsctableparagraph">
    <w:name w:val="hsc_table_paragraph"/>
    <w:basedOn w:val="Normal"/>
    <w:qFormat/>
    <w:rsid w:val="006A207B"/>
    <w:pPr>
      <w:spacing w:before="120" w:after="120" w:line="240" w:lineRule="auto"/>
      <w:jc w:val="center"/>
    </w:pPr>
    <w:rPr>
      <w:rFonts w:ascii="Gill Sans MT" w:hAnsi="Gill Sans MT"/>
      <w:color w:val="404040" w:themeColor="text1" w:themeTint="BF"/>
      <w:sz w:val="20"/>
      <w:szCs w:val="20"/>
    </w:rPr>
  </w:style>
  <w:style w:type="paragraph" w:customStyle="1" w:styleId="hsctableheading1">
    <w:name w:val="hsc_table_heading1"/>
    <w:basedOn w:val="hsctableparagraph"/>
    <w:qFormat/>
    <w:rsid w:val="0007431D"/>
    <w:pPr>
      <w:jc w:val="left"/>
    </w:pPr>
    <w:rPr>
      <w:caps/>
    </w:rPr>
  </w:style>
  <w:style w:type="character" w:customStyle="1" w:styleId="hscgray">
    <w:name w:val="hsc_gray"/>
    <w:basedOn w:val="DefaultParagraphFont"/>
    <w:uiPriority w:val="1"/>
    <w:qFormat/>
    <w:rsid w:val="0007431D"/>
    <w:rPr>
      <w:color w:val="808080" w:themeColor="background1" w:themeShade="80"/>
    </w:rPr>
  </w:style>
  <w:style w:type="table" w:customStyle="1" w:styleId="hsctable1">
    <w:name w:val="hsc_table1"/>
    <w:basedOn w:val="TableNormal"/>
    <w:uiPriority w:val="99"/>
    <w:rsid w:val="0007431D"/>
    <w:tblPr/>
  </w:style>
  <w:style w:type="character" w:styleId="PageNumber">
    <w:name w:val="page number"/>
    <w:basedOn w:val="DefaultParagraphFont"/>
    <w:uiPriority w:val="99"/>
    <w:semiHidden/>
    <w:unhideWhenUsed/>
    <w:rsid w:val="00BE7C80"/>
  </w:style>
  <w:style w:type="paragraph" w:customStyle="1" w:styleId="hscheading3">
    <w:name w:val="hsc_heading3"/>
    <w:basedOn w:val="hscparagraph1"/>
    <w:qFormat/>
    <w:rsid w:val="008F771F"/>
    <w:rPr>
      <w:rFonts w:ascii="Gill Sans MT Bold" w:hAnsi="Gill Sans MT Bold"/>
      <w:b/>
      <w:bCs/>
      <w:spacing w:val="-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t.nmfs.noaa.gov/commercial-fisheries/fus/fus13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pcouncil.org/wp-content/uploads/2013/03/2012-Pelagics-Annual-Report_9-21-201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326D4-9865-4823-94FC-279A875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JJK</dc:creator>
  <cp:lastModifiedBy>JJK</cp:lastModifiedBy>
  <cp:revision>3</cp:revision>
  <cp:lastPrinted>2015-06-09T00:41:00Z</cp:lastPrinted>
  <dcterms:created xsi:type="dcterms:W3CDTF">2015-07-28T00:18:00Z</dcterms:created>
  <dcterms:modified xsi:type="dcterms:W3CDTF">2015-07-29T00:45:00Z</dcterms:modified>
</cp:coreProperties>
</file>